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EBC7F18" w14:textId="77777777" w:rsidR="00553BB0" w:rsidRDefault="00553BB0" w:rsidP="00553BB0">
      <w:pPr>
        <w:pStyle w:val="Docketnumber"/>
      </w:pPr>
      <w:r>
        <w:t>DOCKET NO. 52689</w:t>
      </w:r>
    </w:p>
    <w:tbl>
      <w:tblPr>
        <w:tblStyle w:val="TableGrid"/>
        <w:tblW w:w="9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08"/>
        <w:gridCol w:w="360"/>
        <w:gridCol w:w="4392"/>
      </w:tblGrid>
      <w:tr w:rsidR="00553BB0" w14:paraId="1008AC0C" w14:textId="77777777" w:rsidTr="00DE30F3">
        <w:trPr>
          <w:trHeight w:val="1143"/>
        </w:trPr>
        <w:tc>
          <w:tcPr>
            <w:tcW w:w="4608" w:type="dxa"/>
          </w:tcPr>
          <w:p w14:paraId="3064A631" w14:textId="77777777" w:rsidR="00553BB0" w:rsidRDefault="00553BB0" w:rsidP="00DE30F3">
            <w:pPr>
              <w:pStyle w:val="Docketstyle"/>
            </w:pPr>
            <w:r>
              <w:t xml:space="preserve">EXPEDITED PETITION FOR APPROVAL OF INTERIM LOAD MANAGEMENT PROGRAMS FOR </w:t>
            </w:r>
            <w:r w:rsidR="00CE1F4C">
              <w:t>NONRESIDENTIAL CUSTOMERS AND FOR AN ACCOUNTING ORDER</w:t>
            </w:r>
          </w:p>
        </w:tc>
        <w:tc>
          <w:tcPr>
            <w:tcW w:w="360" w:type="dxa"/>
          </w:tcPr>
          <w:p w14:paraId="204883EA" w14:textId="77777777" w:rsidR="00553BB0" w:rsidRDefault="00553BB0" w:rsidP="00DE30F3">
            <w:pPr>
              <w:pStyle w:val="Docketstyle"/>
            </w:pPr>
            <w:r>
              <w:t>§</w:t>
            </w:r>
          </w:p>
          <w:p w14:paraId="18F960E2" w14:textId="77777777" w:rsidR="00553BB0" w:rsidRDefault="00553BB0" w:rsidP="00DE30F3">
            <w:pPr>
              <w:pStyle w:val="Docketstyle"/>
            </w:pPr>
            <w:r>
              <w:t>§</w:t>
            </w:r>
          </w:p>
          <w:p w14:paraId="32066C69" w14:textId="77777777" w:rsidR="00553BB0" w:rsidRDefault="00553BB0" w:rsidP="00DE30F3">
            <w:pPr>
              <w:pStyle w:val="Docketstyle"/>
            </w:pPr>
            <w:r>
              <w:t>§</w:t>
            </w:r>
          </w:p>
          <w:p w14:paraId="3B79B55D" w14:textId="77777777" w:rsidR="00553BB0" w:rsidRDefault="00553BB0" w:rsidP="00DE30F3">
            <w:pPr>
              <w:pStyle w:val="Docketstyle"/>
            </w:pPr>
            <w:r>
              <w:t>§</w:t>
            </w:r>
            <w:r w:rsidR="00CE1F4C">
              <w:t>§</w:t>
            </w:r>
          </w:p>
        </w:tc>
        <w:tc>
          <w:tcPr>
            <w:tcW w:w="4392" w:type="dxa"/>
          </w:tcPr>
          <w:p w14:paraId="472F739F" w14:textId="77777777" w:rsidR="00CE1F4C" w:rsidRDefault="00CE1F4C" w:rsidP="00DE30F3">
            <w:pPr>
              <w:pStyle w:val="DocketstylePUC"/>
            </w:pPr>
          </w:p>
          <w:p w14:paraId="02737581" w14:textId="77777777" w:rsidR="00553BB0" w:rsidRDefault="00553BB0" w:rsidP="00DE30F3">
            <w:pPr>
              <w:pStyle w:val="DocketstylePUC"/>
            </w:pPr>
            <w:r>
              <w:t>PUBLIC UTILITY COMMISSION</w:t>
            </w:r>
          </w:p>
          <w:p w14:paraId="226F8811" w14:textId="77777777" w:rsidR="00553BB0" w:rsidRPr="004462F8" w:rsidRDefault="00553BB0" w:rsidP="00DE30F3">
            <w:pPr>
              <w:pStyle w:val="DocketstylePUC"/>
            </w:pPr>
          </w:p>
          <w:p w14:paraId="2BC3C27B" w14:textId="77777777" w:rsidR="00553BB0" w:rsidRDefault="00553BB0" w:rsidP="00DE30F3">
            <w:pPr>
              <w:pStyle w:val="DocketstylePUC"/>
            </w:pPr>
            <w:r>
              <w:t>OF TEXAS</w:t>
            </w:r>
          </w:p>
        </w:tc>
      </w:tr>
    </w:tbl>
    <w:p w14:paraId="37BD0726" w14:textId="77777777" w:rsidR="00553BB0" w:rsidRDefault="00553BB0" w:rsidP="00553BB0">
      <w:pPr>
        <w:pStyle w:val="BodyText"/>
        <w:jc w:val="center"/>
        <w:rPr>
          <w:b/>
          <w:bCs/>
        </w:rPr>
      </w:pPr>
    </w:p>
    <w:p w14:paraId="69C81EE2" w14:textId="77777777" w:rsidR="00553BB0" w:rsidRDefault="00553BB0" w:rsidP="00553BB0">
      <w:pPr>
        <w:pStyle w:val="BodyText"/>
        <w:jc w:val="center"/>
        <w:rPr>
          <w:b/>
          <w:bCs/>
        </w:rPr>
      </w:pPr>
    </w:p>
    <w:p w14:paraId="3D55BB63" w14:textId="77777777" w:rsidR="00553BB0" w:rsidRDefault="00553BB0" w:rsidP="00553BB0">
      <w:pPr>
        <w:pStyle w:val="BodyText"/>
        <w:jc w:val="center"/>
        <w:rPr>
          <w:b/>
          <w:bCs/>
        </w:rPr>
      </w:pPr>
    </w:p>
    <w:p w14:paraId="1D02A566" w14:textId="77777777" w:rsidR="00553BB0" w:rsidRDefault="00553BB0" w:rsidP="00553BB0">
      <w:pPr>
        <w:pStyle w:val="BodyText"/>
        <w:jc w:val="center"/>
        <w:rPr>
          <w:b/>
          <w:bCs/>
        </w:rPr>
      </w:pPr>
    </w:p>
    <w:p w14:paraId="09900B21" w14:textId="77777777" w:rsidR="00553BB0" w:rsidRDefault="00553BB0" w:rsidP="00553BB0">
      <w:pPr>
        <w:pStyle w:val="BodyText"/>
        <w:jc w:val="center"/>
        <w:rPr>
          <w:b/>
          <w:bCs/>
        </w:rPr>
      </w:pPr>
    </w:p>
    <w:p w14:paraId="7607B8FE" w14:textId="77777777" w:rsidR="00553BB0" w:rsidRDefault="00553BB0" w:rsidP="00553BB0">
      <w:pPr>
        <w:pStyle w:val="BodyText"/>
        <w:jc w:val="center"/>
        <w:rPr>
          <w:b/>
          <w:bCs/>
        </w:rPr>
      </w:pPr>
    </w:p>
    <w:p w14:paraId="2150D778" w14:textId="77777777" w:rsidR="00553BB0" w:rsidRDefault="00553BB0" w:rsidP="00553BB0">
      <w:pPr>
        <w:pStyle w:val="BodyText"/>
        <w:jc w:val="center"/>
        <w:rPr>
          <w:b/>
          <w:bCs/>
        </w:rPr>
      </w:pPr>
    </w:p>
    <w:p w14:paraId="3566DF5A" w14:textId="77777777" w:rsidR="00553BB0" w:rsidRDefault="00553BB0" w:rsidP="00553BB0">
      <w:pPr>
        <w:pStyle w:val="BodyText"/>
        <w:jc w:val="center"/>
        <w:rPr>
          <w:b/>
          <w:bCs/>
        </w:rPr>
      </w:pPr>
      <w:r>
        <w:rPr>
          <w:b/>
          <w:bCs/>
        </w:rPr>
        <w:t>AEP TEXAS INC.</w:t>
      </w:r>
      <w:r w:rsidR="0030553B">
        <w:rPr>
          <w:b/>
          <w:bCs/>
        </w:rPr>
        <w:t>’</w:t>
      </w:r>
      <w:r>
        <w:rPr>
          <w:b/>
          <w:bCs/>
        </w:rPr>
        <w:t>S</w:t>
      </w:r>
    </w:p>
    <w:p w14:paraId="4693417B" w14:textId="77777777" w:rsidR="00553BB0" w:rsidRDefault="00553BB0" w:rsidP="00553BB0">
      <w:pPr>
        <w:pStyle w:val="BodyText"/>
        <w:jc w:val="center"/>
        <w:rPr>
          <w:b/>
          <w:bCs/>
        </w:rPr>
      </w:pPr>
      <w:r>
        <w:rPr>
          <w:b/>
          <w:bCs/>
        </w:rPr>
        <w:t>REPORT ON INTERIM LOAD MANAGEMENT PROGRAM</w:t>
      </w:r>
    </w:p>
    <w:p w14:paraId="1A43F7F5" w14:textId="77777777" w:rsidR="00553BB0" w:rsidRDefault="00553BB0" w:rsidP="00553BB0">
      <w:pPr>
        <w:pStyle w:val="BodyText"/>
        <w:jc w:val="center"/>
        <w:rPr>
          <w:b/>
          <w:bCs/>
        </w:rPr>
      </w:pPr>
      <w:r>
        <w:rPr>
          <w:b/>
          <w:bCs/>
        </w:rPr>
        <w:t>ENDING FEBRUARY 28, 2022</w:t>
      </w:r>
    </w:p>
    <w:p w14:paraId="3C8C378A" w14:textId="77777777" w:rsidR="00553BB0" w:rsidRDefault="00553BB0" w:rsidP="00553BB0">
      <w:pPr>
        <w:pStyle w:val="BodyText"/>
        <w:jc w:val="center"/>
        <w:rPr>
          <w:b/>
          <w:bCs/>
        </w:rPr>
      </w:pPr>
    </w:p>
    <w:p w14:paraId="6A3B7230" w14:textId="77777777" w:rsidR="00553BB0" w:rsidRDefault="00553BB0" w:rsidP="00553BB0">
      <w:pPr>
        <w:pStyle w:val="BodyText"/>
        <w:jc w:val="center"/>
        <w:rPr>
          <w:b/>
          <w:bCs/>
        </w:rPr>
      </w:pPr>
    </w:p>
    <w:p w14:paraId="0598791A" w14:textId="77777777" w:rsidR="00553BB0" w:rsidRDefault="00553BB0" w:rsidP="00553BB0">
      <w:pPr>
        <w:pStyle w:val="BodyText"/>
        <w:jc w:val="center"/>
        <w:rPr>
          <w:b/>
          <w:bCs/>
        </w:rPr>
      </w:pPr>
    </w:p>
    <w:p w14:paraId="456A8FDF" w14:textId="77777777" w:rsidR="00CE1F4C" w:rsidRDefault="00CE1F4C" w:rsidP="00553BB0">
      <w:pPr>
        <w:pStyle w:val="BodyText"/>
        <w:jc w:val="center"/>
        <w:rPr>
          <w:b/>
          <w:bCs/>
        </w:rPr>
      </w:pPr>
    </w:p>
    <w:p w14:paraId="241E250C" w14:textId="77777777" w:rsidR="00553BB0" w:rsidRDefault="00553BB0" w:rsidP="00553BB0">
      <w:pPr>
        <w:pStyle w:val="BodyText"/>
        <w:jc w:val="center"/>
        <w:rPr>
          <w:b/>
          <w:bCs/>
        </w:rPr>
      </w:pPr>
    </w:p>
    <w:p w14:paraId="337FF854" w14:textId="77777777" w:rsidR="00553BB0" w:rsidRPr="00553BB0" w:rsidRDefault="00553BB0" w:rsidP="00553BB0">
      <w:pPr>
        <w:pStyle w:val="BodyText"/>
        <w:jc w:val="center"/>
        <w:rPr>
          <w:b/>
          <w:bCs/>
        </w:rPr>
      </w:pPr>
      <w:r>
        <w:rPr>
          <w:b/>
          <w:bCs/>
        </w:rPr>
        <w:t>June 1, 2022</w:t>
      </w:r>
    </w:p>
    <w:p w14:paraId="4F66867B" w14:textId="77777777" w:rsidR="00CE1F4C" w:rsidRDefault="00CE1F4C" w:rsidP="006D7D81">
      <w:pPr>
        <w:pStyle w:val="BodyText"/>
        <w:sectPr w:rsidR="00CE1F4C" w:rsidSect="00147EB9">
          <w:headerReference w:type="default" r:id="rId10"/>
          <w:footerReference w:type="default" r:id="rId11"/>
          <w:pgSz w:w="12240" w:h="15840"/>
          <w:pgMar w:top="1440" w:right="1440" w:bottom="1440" w:left="1440" w:header="720" w:footer="576" w:gutter="0"/>
          <w:cols w:space="720"/>
          <w:titlePg/>
          <w:docGrid w:linePitch="360"/>
        </w:sectPr>
      </w:pPr>
    </w:p>
    <w:p w14:paraId="2B41FFF7" w14:textId="77777777" w:rsidR="0039318B" w:rsidRPr="0039318B" w:rsidRDefault="0039318B" w:rsidP="0039318B">
      <w:pPr>
        <w:pStyle w:val="BodyText"/>
        <w:jc w:val="center"/>
        <w:rPr>
          <w:b/>
          <w:bCs/>
        </w:rPr>
      </w:pPr>
      <w:r>
        <w:rPr>
          <w:b/>
          <w:bCs/>
        </w:rPr>
        <w:lastRenderedPageBreak/>
        <w:t>TABLE OF CONTENTS</w:t>
      </w:r>
    </w:p>
    <w:p w14:paraId="1E05740F" w14:textId="77777777" w:rsidR="0039318B" w:rsidRDefault="0039318B" w:rsidP="0039318B">
      <w:pPr>
        <w:pStyle w:val="TOC1"/>
      </w:pPr>
    </w:p>
    <w:p w14:paraId="5242284F" w14:textId="024B46F1" w:rsidR="0039318B" w:rsidRDefault="0039318B" w:rsidP="0039318B">
      <w:pPr>
        <w:pStyle w:val="TOC1"/>
        <w:rPr>
          <w:noProof/>
        </w:rPr>
      </w:pPr>
      <w:r>
        <w:fldChar w:fldCharType="begin"/>
      </w:r>
      <w:r>
        <w:instrText xml:space="preserve"> TOC \o "1-3" \h \z \u </w:instrText>
      </w:r>
      <w:r>
        <w:fldChar w:fldCharType="separate"/>
      </w:r>
      <w:hyperlink w:anchor="_Toc102742041" w:history="1">
        <w:r w:rsidRPr="00E11A4F">
          <w:rPr>
            <w:rStyle w:val="Hyperlink"/>
            <w:noProof/>
          </w:rPr>
          <w:t>I.</w:t>
        </w:r>
        <w:r>
          <w:rPr>
            <w:noProof/>
          </w:rPr>
          <w:tab/>
        </w:r>
        <w:r w:rsidRPr="00E11A4F">
          <w:rPr>
            <w:rStyle w:val="Hyperlink"/>
            <w:noProof/>
          </w:rPr>
          <w:t>Background and Purpose</w:t>
        </w:r>
        <w:r>
          <w:rPr>
            <w:noProof/>
            <w:webHidden/>
          </w:rPr>
          <w:tab/>
        </w:r>
        <w:r>
          <w:rPr>
            <w:noProof/>
            <w:webHidden/>
          </w:rPr>
          <w:fldChar w:fldCharType="begin"/>
        </w:r>
        <w:r>
          <w:rPr>
            <w:noProof/>
            <w:webHidden/>
          </w:rPr>
          <w:instrText xml:space="preserve"> PAGEREF _Toc102742041 \h </w:instrText>
        </w:r>
        <w:r>
          <w:rPr>
            <w:noProof/>
            <w:webHidden/>
          </w:rPr>
        </w:r>
        <w:r>
          <w:rPr>
            <w:noProof/>
            <w:webHidden/>
          </w:rPr>
          <w:fldChar w:fldCharType="separate"/>
        </w:r>
        <w:r w:rsidR="00533AE2">
          <w:rPr>
            <w:noProof/>
            <w:webHidden/>
          </w:rPr>
          <w:t>1</w:t>
        </w:r>
        <w:r>
          <w:rPr>
            <w:noProof/>
            <w:webHidden/>
          </w:rPr>
          <w:fldChar w:fldCharType="end"/>
        </w:r>
      </w:hyperlink>
    </w:p>
    <w:p w14:paraId="4F1135C4" w14:textId="52811945" w:rsidR="0039318B" w:rsidRDefault="0086623A" w:rsidP="0039318B">
      <w:pPr>
        <w:pStyle w:val="TOC1"/>
        <w:rPr>
          <w:noProof/>
        </w:rPr>
      </w:pPr>
      <w:hyperlink w:anchor="_Toc102742042" w:history="1">
        <w:r w:rsidR="0039318B" w:rsidRPr="00E11A4F">
          <w:rPr>
            <w:rStyle w:val="Hyperlink"/>
            <w:noProof/>
          </w:rPr>
          <w:t>II.</w:t>
        </w:r>
        <w:r w:rsidR="0039318B">
          <w:rPr>
            <w:noProof/>
          </w:rPr>
          <w:tab/>
        </w:r>
        <w:r w:rsidR="0039318B" w:rsidRPr="00E11A4F">
          <w:rPr>
            <w:rStyle w:val="Hyperlink"/>
            <w:noProof/>
          </w:rPr>
          <w:t>Program Design</w:t>
        </w:r>
        <w:r w:rsidR="0039318B">
          <w:rPr>
            <w:noProof/>
            <w:webHidden/>
          </w:rPr>
          <w:tab/>
        </w:r>
        <w:r w:rsidR="0039318B">
          <w:rPr>
            <w:noProof/>
            <w:webHidden/>
          </w:rPr>
          <w:fldChar w:fldCharType="begin"/>
        </w:r>
        <w:r w:rsidR="0039318B">
          <w:rPr>
            <w:noProof/>
            <w:webHidden/>
          </w:rPr>
          <w:instrText xml:space="preserve"> PAGEREF _Toc102742042 \h </w:instrText>
        </w:r>
        <w:r w:rsidR="0039318B">
          <w:rPr>
            <w:noProof/>
            <w:webHidden/>
          </w:rPr>
        </w:r>
        <w:r w:rsidR="0039318B">
          <w:rPr>
            <w:noProof/>
            <w:webHidden/>
          </w:rPr>
          <w:fldChar w:fldCharType="separate"/>
        </w:r>
        <w:r w:rsidR="00533AE2">
          <w:rPr>
            <w:noProof/>
            <w:webHidden/>
          </w:rPr>
          <w:t>2</w:t>
        </w:r>
        <w:r w:rsidR="0039318B">
          <w:rPr>
            <w:noProof/>
            <w:webHidden/>
          </w:rPr>
          <w:fldChar w:fldCharType="end"/>
        </w:r>
      </w:hyperlink>
    </w:p>
    <w:p w14:paraId="62487C97" w14:textId="24D22152" w:rsidR="0039318B" w:rsidRDefault="0086623A" w:rsidP="0039318B">
      <w:pPr>
        <w:pStyle w:val="TOC1"/>
        <w:rPr>
          <w:noProof/>
        </w:rPr>
      </w:pPr>
      <w:hyperlink w:anchor="_Toc102742043" w:history="1">
        <w:r w:rsidR="0039318B" w:rsidRPr="00E11A4F">
          <w:rPr>
            <w:rStyle w:val="Hyperlink"/>
            <w:noProof/>
          </w:rPr>
          <w:t>III.</w:t>
        </w:r>
        <w:r w:rsidR="0039318B">
          <w:rPr>
            <w:noProof/>
          </w:rPr>
          <w:tab/>
        </w:r>
        <w:r w:rsidR="0039318B" w:rsidRPr="00E11A4F">
          <w:rPr>
            <w:rStyle w:val="Hyperlink"/>
            <w:noProof/>
          </w:rPr>
          <w:t>Program Results</w:t>
        </w:r>
        <w:r w:rsidR="0039318B">
          <w:rPr>
            <w:noProof/>
            <w:webHidden/>
          </w:rPr>
          <w:tab/>
        </w:r>
        <w:r w:rsidR="0039318B">
          <w:rPr>
            <w:noProof/>
            <w:webHidden/>
          </w:rPr>
          <w:fldChar w:fldCharType="begin"/>
        </w:r>
        <w:r w:rsidR="0039318B">
          <w:rPr>
            <w:noProof/>
            <w:webHidden/>
          </w:rPr>
          <w:instrText xml:space="preserve"> PAGEREF _Toc102742043 \h </w:instrText>
        </w:r>
        <w:r w:rsidR="0039318B">
          <w:rPr>
            <w:noProof/>
            <w:webHidden/>
          </w:rPr>
        </w:r>
        <w:r w:rsidR="0039318B">
          <w:rPr>
            <w:noProof/>
            <w:webHidden/>
          </w:rPr>
          <w:fldChar w:fldCharType="separate"/>
        </w:r>
        <w:r w:rsidR="00533AE2">
          <w:rPr>
            <w:noProof/>
            <w:webHidden/>
          </w:rPr>
          <w:t>4</w:t>
        </w:r>
        <w:r w:rsidR="0039318B">
          <w:rPr>
            <w:noProof/>
            <w:webHidden/>
          </w:rPr>
          <w:fldChar w:fldCharType="end"/>
        </w:r>
      </w:hyperlink>
    </w:p>
    <w:p w14:paraId="11E08546" w14:textId="57420423" w:rsidR="0039318B" w:rsidRDefault="0086623A" w:rsidP="0039318B">
      <w:pPr>
        <w:pStyle w:val="TOC1"/>
        <w:rPr>
          <w:noProof/>
        </w:rPr>
      </w:pPr>
      <w:hyperlink w:anchor="_Toc102742044" w:history="1">
        <w:r w:rsidR="0039318B" w:rsidRPr="00E11A4F">
          <w:rPr>
            <w:rStyle w:val="Hyperlink"/>
            <w:noProof/>
          </w:rPr>
          <w:t>IV.</w:t>
        </w:r>
        <w:r w:rsidR="0039318B">
          <w:rPr>
            <w:noProof/>
          </w:rPr>
          <w:tab/>
        </w:r>
        <w:r w:rsidR="0039318B" w:rsidRPr="00E11A4F">
          <w:rPr>
            <w:rStyle w:val="Hyperlink"/>
            <w:noProof/>
          </w:rPr>
          <w:t>Lessons Learned</w:t>
        </w:r>
        <w:r w:rsidR="0039318B">
          <w:rPr>
            <w:noProof/>
            <w:webHidden/>
          </w:rPr>
          <w:tab/>
        </w:r>
        <w:r w:rsidR="0039318B">
          <w:rPr>
            <w:noProof/>
            <w:webHidden/>
          </w:rPr>
          <w:fldChar w:fldCharType="begin"/>
        </w:r>
        <w:r w:rsidR="0039318B">
          <w:rPr>
            <w:noProof/>
            <w:webHidden/>
          </w:rPr>
          <w:instrText xml:space="preserve"> PAGEREF _Toc102742044 \h </w:instrText>
        </w:r>
        <w:r w:rsidR="0039318B">
          <w:rPr>
            <w:noProof/>
            <w:webHidden/>
          </w:rPr>
        </w:r>
        <w:r w:rsidR="0039318B">
          <w:rPr>
            <w:noProof/>
            <w:webHidden/>
          </w:rPr>
          <w:fldChar w:fldCharType="separate"/>
        </w:r>
        <w:r w:rsidR="00533AE2">
          <w:rPr>
            <w:noProof/>
            <w:webHidden/>
          </w:rPr>
          <w:t>5</w:t>
        </w:r>
        <w:r w:rsidR="0039318B">
          <w:rPr>
            <w:noProof/>
            <w:webHidden/>
          </w:rPr>
          <w:fldChar w:fldCharType="end"/>
        </w:r>
      </w:hyperlink>
    </w:p>
    <w:p w14:paraId="6D658ECA" w14:textId="5B981A8F" w:rsidR="0039318B" w:rsidRDefault="0086623A" w:rsidP="0039318B">
      <w:pPr>
        <w:pStyle w:val="TOC2"/>
        <w:rPr>
          <w:noProof/>
        </w:rPr>
      </w:pPr>
      <w:hyperlink w:anchor="_Toc102742045" w:history="1">
        <w:r w:rsidR="0039318B" w:rsidRPr="00E11A4F">
          <w:rPr>
            <w:rStyle w:val="Hyperlink"/>
            <w:noProof/>
          </w:rPr>
          <w:t>A.</w:t>
        </w:r>
        <w:r w:rsidR="0039318B">
          <w:rPr>
            <w:noProof/>
          </w:rPr>
          <w:tab/>
        </w:r>
        <w:r w:rsidR="0039318B" w:rsidRPr="00E11A4F">
          <w:rPr>
            <w:rStyle w:val="Hyperlink"/>
            <w:noProof/>
          </w:rPr>
          <w:t>Program Design</w:t>
        </w:r>
        <w:r w:rsidR="0039318B">
          <w:rPr>
            <w:noProof/>
            <w:webHidden/>
          </w:rPr>
          <w:tab/>
        </w:r>
        <w:r w:rsidR="0039318B">
          <w:rPr>
            <w:noProof/>
            <w:webHidden/>
          </w:rPr>
          <w:fldChar w:fldCharType="begin"/>
        </w:r>
        <w:r w:rsidR="0039318B">
          <w:rPr>
            <w:noProof/>
            <w:webHidden/>
          </w:rPr>
          <w:instrText xml:space="preserve"> PAGEREF _Toc102742045 \h </w:instrText>
        </w:r>
        <w:r w:rsidR="0039318B">
          <w:rPr>
            <w:noProof/>
            <w:webHidden/>
          </w:rPr>
        </w:r>
        <w:r w:rsidR="0039318B">
          <w:rPr>
            <w:noProof/>
            <w:webHidden/>
          </w:rPr>
          <w:fldChar w:fldCharType="separate"/>
        </w:r>
        <w:r w:rsidR="00533AE2">
          <w:rPr>
            <w:noProof/>
            <w:webHidden/>
          </w:rPr>
          <w:t>5</w:t>
        </w:r>
        <w:r w:rsidR="0039318B">
          <w:rPr>
            <w:noProof/>
            <w:webHidden/>
          </w:rPr>
          <w:fldChar w:fldCharType="end"/>
        </w:r>
      </w:hyperlink>
    </w:p>
    <w:p w14:paraId="6C23DCB5" w14:textId="2B091210" w:rsidR="0039318B" w:rsidRDefault="0086623A" w:rsidP="0039318B">
      <w:pPr>
        <w:pStyle w:val="TOC2"/>
        <w:rPr>
          <w:noProof/>
        </w:rPr>
      </w:pPr>
      <w:hyperlink w:anchor="_Toc102742046" w:history="1">
        <w:r w:rsidR="0039318B" w:rsidRPr="00E11A4F">
          <w:rPr>
            <w:rStyle w:val="Hyperlink"/>
            <w:noProof/>
          </w:rPr>
          <w:t>B.</w:t>
        </w:r>
        <w:r w:rsidR="0039318B">
          <w:rPr>
            <w:noProof/>
          </w:rPr>
          <w:tab/>
        </w:r>
        <w:r w:rsidR="0039318B" w:rsidRPr="00E11A4F">
          <w:rPr>
            <w:rStyle w:val="Hyperlink"/>
            <w:noProof/>
          </w:rPr>
          <w:t>Operational</w:t>
        </w:r>
        <w:r w:rsidR="0039318B">
          <w:rPr>
            <w:noProof/>
            <w:webHidden/>
          </w:rPr>
          <w:tab/>
        </w:r>
        <w:r w:rsidR="0039318B">
          <w:rPr>
            <w:noProof/>
            <w:webHidden/>
          </w:rPr>
          <w:fldChar w:fldCharType="begin"/>
        </w:r>
        <w:r w:rsidR="0039318B">
          <w:rPr>
            <w:noProof/>
            <w:webHidden/>
          </w:rPr>
          <w:instrText xml:space="preserve"> PAGEREF _Toc102742046 \h </w:instrText>
        </w:r>
        <w:r w:rsidR="0039318B">
          <w:rPr>
            <w:noProof/>
            <w:webHidden/>
          </w:rPr>
        </w:r>
        <w:r w:rsidR="0039318B">
          <w:rPr>
            <w:noProof/>
            <w:webHidden/>
          </w:rPr>
          <w:fldChar w:fldCharType="separate"/>
        </w:r>
        <w:r w:rsidR="00533AE2">
          <w:rPr>
            <w:noProof/>
            <w:webHidden/>
          </w:rPr>
          <w:t>5</w:t>
        </w:r>
        <w:r w:rsidR="0039318B">
          <w:rPr>
            <w:noProof/>
            <w:webHidden/>
          </w:rPr>
          <w:fldChar w:fldCharType="end"/>
        </w:r>
      </w:hyperlink>
    </w:p>
    <w:p w14:paraId="36D6F960" w14:textId="77777777" w:rsidR="00CE1F4C" w:rsidRDefault="0039318B" w:rsidP="006D7D81">
      <w:pPr>
        <w:pStyle w:val="BodyText"/>
      </w:pPr>
      <w:r>
        <w:fldChar w:fldCharType="end"/>
      </w:r>
    </w:p>
    <w:p w14:paraId="7029A7D2" w14:textId="77777777" w:rsidR="00CE1F4C" w:rsidRDefault="00CE1F4C" w:rsidP="006D7D81">
      <w:pPr>
        <w:pStyle w:val="BodyText"/>
      </w:pPr>
    </w:p>
    <w:p w14:paraId="09181C3A" w14:textId="77777777" w:rsidR="00CE1F4C" w:rsidRPr="00CE1F4C" w:rsidRDefault="00CE1F4C" w:rsidP="00CE1F4C"/>
    <w:p w14:paraId="7CFF9723" w14:textId="77777777" w:rsidR="00CE1F4C" w:rsidRPr="00CE1F4C" w:rsidRDefault="00CE1F4C" w:rsidP="00CE1F4C"/>
    <w:p w14:paraId="74561126" w14:textId="77777777" w:rsidR="00CE1F4C" w:rsidRPr="00CE1F4C" w:rsidRDefault="00CE1F4C" w:rsidP="00CE1F4C"/>
    <w:p w14:paraId="24DCCD53" w14:textId="77777777" w:rsidR="00CE1F4C" w:rsidRPr="00CE1F4C" w:rsidRDefault="00CE1F4C" w:rsidP="00CE1F4C"/>
    <w:p w14:paraId="45BDBFFF" w14:textId="77777777" w:rsidR="00CE1F4C" w:rsidRPr="00CE1F4C" w:rsidRDefault="00CE1F4C" w:rsidP="00CE1F4C"/>
    <w:p w14:paraId="1B7B611F" w14:textId="77777777" w:rsidR="00CE1F4C" w:rsidRPr="00CE1F4C" w:rsidRDefault="00CE1F4C" w:rsidP="00CE1F4C"/>
    <w:p w14:paraId="6749A0AD" w14:textId="77777777" w:rsidR="00CE1F4C" w:rsidRPr="00CE1F4C" w:rsidRDefault="00CE1F4C" w:rsidP="00CE1F4C"/>
    <w:p w14:paraId="0EA5F274" w14:textId="77777777" w:rsidR="00CE1F4C" w:rsidRPr="00CE1F4C" w:rsidRDefault="00CE1F4C" w:rsidP="00CE1F4C"/>
    <w:p w14:paraId="0F530B4F" w14:textId="77777777" w:rsidR="00CE1F4C" w:rsidRPr="00CE1F4C" w:rsidRDefault="00CE1F4C" w:rsidP="00CE1F4C"/>
    <w:p w14:paraId="7FE58DE4" w14:textId="77777777" w:rsidR="00CE1F4C" w:rsidRPr="00CE1F4C" w:rsidRDefault="00CE1F4C" w:rsidP="00CE1F4C"/>
    <w:p w14:paraId="24816CE0" w14:textId="77777777" w:rsidR="00CE1F4C" w:rsidRPr="00CE1F4C" w:rsidRDefault="00CE1F4C" w:rsidP="00CE1F4C"/>
    <w:p w14:paraId="143A8965" w14:textId="77777777" w:rsidR="00CE1F4C" w:rsidRPr="00CE1F4C" w:rsidRDefault="00CE1F4C" w:rsidP="00CE1F4C"/>
    <w:p w14:paraId="24B5AE20" w14:textId="77777777" w:rsidR="00CE1F4C" w:rsidRPr="00CE1F4C" w:rsidRDefault="00CE1F4C" w:rsidP="00CE1F4C"/>
    <w:p w14:paraId="68E5D192" w14:textId="77777777" w:rsidR="00CE1F4C" w:rsidRPr="00CE1F4C" w:rsidRDefault="00CE1F4C" w:rsidP="00CE1F4C"/>
    <w:p w14:paraId="53A5C6F9" w14:textId="77777777" w:rsidR="00CE1F4C" w:rsidRDefault="00CE1F4C" w:rsidP="00CE1F4C">
      <w:pPr>
        <w:tabs>
          <w:tab w:val="left" w:pos="2445"/>
        </w:tabs>
      </w:pPr>
      <w:r>
        <w:tab/>
      </w:r>
    </w:p>
    <w:p w14:paraId="19CF1EBE" w14:textId="77777777" w:rsidR="00CE1F4C" w:rsidRDefault="00CE1F4C" w:rsidP="00CE1F4C"/>
    <w:p w14:paraId="39DB2229" w14:textId="77777777" w:rsidR="00CE1F4C" w:rsidRPr="00CE1F4C" w:rsidRDefault="00CE1F4C" w:rsidP="00CE1F4C">
      <w:pPr>
        <w:sectPr w:rsidR="00CE1F4C" w:rsidRPr="00CE1F4C" w:rsidSect="00147EB9">
          <w:pgSz w:w="12240" w:h="15840"/>
          <w:pgMar w:top="1440" w:right="1440" w:bottom="1440" w:left="1440" w:header="720" w:footer="576" w:gutter="0"/>
          <w:pgNumType w:fmt="lowerRoman" w:start="1"/>
          <w:cols w:space="720"/>
          <w:docGrid w:linePitch="360"/>
        </w:sectPr>
      </w:pPr>
    </w:p>
    <w:p w14:paraId="26BA4F25" w14:textId="77777777" w:rsidR="00CE1F4C" w:rsidRDefault="00CE1F4C" w:rsidP="00CE1F4C">
      <w:pPr>
        <w:pStyle w:val="Heading1"/>
      </w:pPr>
      <w:bookmarkStart w:id="0" w:name="_Toc102742041"/>
      <w:r>
        <w:t>Background and Purpose</w:t>
      </w:r>
      <w:bookmarkEnd w:id="0"/>
    </w:p>
    <w:p w14:paraId="547B0686" w14:textId="77777777" w:rsidR="00B46195" w:rsidRDefault="001406BA" w:rsidP="00B46195">
      <w:pPr>
        <w:pStyle w:val="BodyText"/>
      </w:pPr>
      <w:r>
        <w:t>On June 8, 2021, the Governor of Texas signed S</w:t>
      </w:r>
      <w:r w:rsidR="00762926">
        <w:t>enate Bill</w:t>
      </w:r>
      <w:r>
        <w:t xml:space="preserve"> 3</w:t>
      </w:r>
      <w:r w:rsidR="008B7089">
        <w:rPr>
          <w:rStyle w:val="FootnoteReference"/>
        </w:rPr>
        <w:footnoteReference w:id="2"/>
      </w:r>
      <w:r w:rsidR="00E44949">
        <w:t xml:space="preserve"> </w:t>
      </w:r>
      <w:r>
        <w:t xml:space="preserve">into law which, among other things, </w:t>
      </w:r>
      <w:r w:rsidR="00D16258">
        <w:t>authorized</w:t>
      </w:r>
      <w:r>
        <w:t xml:space="preserve"> transmission and distribution </w:t>
      </w:r>
      <w:r w:rsidR="00D16258">
        <w:t>utilities “</w:t>
      </w:r>
      <w:r>
        <w:t>to design and operate a load management program for nonresidential customers to be used where the independent organization certified under [PURA] Section 39.151 for the ERCOT power region has declared a Level 2 Emergency or a higher level of emergency or has otherwise directed the transmission and distribution utility to shed load.</w:t>
      </w:r>
      <w:r w:rsidR="007F53E7">
        <w:t>”</w:t>
      </w:r>
      <w:r w:rsidR="00020350">
        <w:rPr>
          <w:rStyle w:val="FootnoteReference"/>
        </w:rPr>
        <w:footnoteReference w:id="3"/>
      </w:r>
      <w:r>
        <w:t xml:space="preserve"> Additionally, a </w:t>
      </w:r>
      <w:r w:rsidR="007F53E7">
        <w:t>“</w:t>
      </w:r>
      <w:r>
        <w:t>transmission and distribution utility</w:t>
      </w:r>
      <w:r w:rsidR="009D2FAE">
        <w:t xml:space="preserve"> implementing a load management program...shall be permitted to recover the reasonable and necessary costs of the load management program under Chapter 36 [of </w:t>
      </w:r>
      <w:r w:rsidR="007F53E7">
        <w:t>PURA]</w:t>
      </w:r>
      <w:r w:rsidR="009D2FAE">
        <w:t>.</w:t>
      </w:r>
      <w:r w:rsidR="007F53E7">
        <w:t>”</w:t>
      </w:r>
      <w:r w:rsidR="00020350">
        <w:rPr>
          <w:rStyle w:val="FootnoteReference"/>
        </w:rPr>
        <w:footnoteReference w:id="4"/>
      </w:r>
      <w:r w:rsidR="009D2FAE">
        <w:t xml:space="preserve"> </w:t>
      </w:r>
    </w:p>
    <w:p w14:paraId="0EB6127B" w14:textId="77777777" w:rsidR="00B46195" w:rsidRDefault="009D2FAE" w:rsidP="00B46195">
      <w:pPr>
        <w:pStyle w:val="BodyText"/>
      </w:pPr>
      <w:r>
        <w:t xml:space="preserve">As part of preparing for the </w:t>
      </w:r>
      <w:r w:rsidR="007F53E7">
        <w:t>2021</w:t>
      </w:r>
      <w:r w:rsidR="00EC33A2">
        <w:t xml:space="preserve"> – </w:t>
      </w:r>
      <w:r w:rsidR="007F53E7">
        <w:t xml:space="preserve">2022 </w:t>
      </w:r>
      <w:r>
        <w:t xml:space="preserve">winter season, </w:t>
      </w:r>
      <w:r w:rsidR="007F53E7">
        <w:t>and in accordance with SB 3,</w:t>
      </w:r>
      <w:r>
        <w:t xml:space="preserve"> </w:t>
      </w:r>
      <w:r w:rsidR="007F53E7">
        <w:t>AEP Texas</w:t>
      </w:r>
      <w:r w:rsidR="00B46195">
        <w:t xml:space="preserve"> Inc., CenterPoint Energy Houston Electric, LLC, and Texas-New Mexico Power Company (collectively, the “Joint TDUs”) </w:t>
      </w:r>
      <w:r w:rsidR="00267A5E">
        <w:t>filed a petition requesting</w:t>
      </w:r>
      <w:r w:rsidR="00B46195">
        <w:t xml:space="preserve"> that the Commission authorize </w:t>
      </w:r>
      <w:r w:rsidR="00267A5E">
        <w:t xml:space="preserve">each of </w:t>
      </w:r>
      <w:r w:rsidR="00B46195">
        <w:t xml:space="preserve">the Joint TDUs to design and operate an interim load management program for nonresidential customers during the period of December 1, 2021 through February 28, 2022 (the “Interim Load Management Programs”) and to record a regulatory asset for the reasonable and necessary costs associated with the design and operation of those programs. </w:t>
      </w:r>
    </w:p>
    <w:p w14:paraId="79EFBD51" w14:textId="77777777" w:rsidR="007F53E7" w:rsidRDefault="00394D2F" w:rsidP="00CE1F4C">
      <w:pPr>
        <w:pStyle w:val="BodyText"/>
      </w:pPr>
      <w:r>
        <w:t>On January 12, 2022, the Commission issued an order authorizing AEP Texas to defer the reasonable and necessary costs associated with the design and operation of its interim load management program incurred after December 16, 2021 until February 28, 2022 that are not recovered through other means and record those costs in an asset account.</w:t>
      </w:r>
      <w:r w:rsidR="00EC33A2">
        <w:rPr>
          <w:rStyle w:val="FootnoteReference"/>
        </w:rPr>
        <w:footnoteReference w:id="5"/>
      </w:r>
      <w:r>
        <w:t xml:space="preserve">  The order further required </w:t>
      </w:r>
      <w:r w:rsidR="00267A5E">
        <w:t>Commission Staff to work with ERCOT to evaluate the interim load management programs and file a report with the Commission by June 1, 2022.</w:t>
      </w:r>
      <w:r w:rsidR="00EC33A2">
        <w:rPr>
          <w:rStyle w:val="FootnoteReference"/>
        </w:rPr>
        <w:footnoteReference w:id="6"/>
      </w:r>
      <w:r w:rsidR="00267A5E">
        <w:t xml:space="preserve"> To support Commission Staff</w:t>
      </w:r>
      <w:r w:rsidR="0030553B">
        <w:t>’</w:t>
      </w:r>
      <w:r w:rsidR="00267A5E">
        <w:t>s and ERCOT</w:t>
      </w:r>
      <w:r w:rsidR="0030553B">
        <w:t>’</w:t>
      </w:r>
      <w:r w:rsidR="00267A5E">
        <w:t xml:space="preserve">s evaluation and June 1, 2022 report, AEP Texas submits this report on its interim load management program design, program results, and lessons learned. </w:t>
      </w:r>
    </w:p>
    <w:p w14:paraId="7D3EB4F3" w14:textId="77777777" w:rsidR="00CE1F4C" w:rsidRDefault="00CE1F4C" w:rsidP="00CE1F4C">
      <w:pPr>
        <w:pStyle w:val="Heading1"/>
      </w:pPr>
      <w:bookmarkStart w:id="1" w:name="_Toc102742042"/>
      <w:r>
        <w:t>Program Design</w:t>
      </w:r>
      <w:bookmarkEnd w:id="1"/>
    </w:p>
    <w:p w14:paraId="69B0B71A" w14:textId="77777777" w:rsidR="00C11B34" w:rsidRDefault="00EE6499" w:rsidP="00CE1F4C">
      <w:pPr>
        <w:pStyle w:val="BodyText"/>
      </w:pPr>
      <w:r>
        <w:t>AEP Texas</w:t>
      </w:r>
      <w:r w:rsidR="0030553B">
        <w:t>’</w:t>
      </w:r>
      <w:r>
        <w:t xml:space="preserve"> interim load management program (the “Program”) </w:t>
      </w:r>
      <w:r w:rsidR="00EC33A2">
        <w:t>was designed</w:t>
      </w:r>
      <w:r w:rsidR="00C736E1">
        <w:t xml:space="preserve"> to support grid resiliency by providing winter load reduction capabilities in the non-residential </w:t>
      </w:r>
      <w:r w:rsidR="005A302B">
        <w:t xml:space="preserve">ERCOT </w:t>
      </w:r>
      <w:r w:rsidR="00C736E1">
        <w:t xml:space="preserve">market. </w:t>
      </w:r>
      <w:r w:rsidR="00B31614">
        <w:t xml:space="preserve">At a high level, the Program </w:t>
      </w:r>
      <w:r w:rsidR="005A302B">
        <w:t xml:space="preserve">was designed to </w:t>
      </w:r>
      <w:r w:rsidR="00B31614">
        <w:t>provide incentives to Program participants for curtailing electricity demand when the ERCOT power region declared a Level 2 Emergency or higher level of emergency or otherwise directed AEP Texas to shed load</w:t>
      </w:r>
      <w:r w:rsidR="00A16FD2">
        <w:t xml:space="preserve"> during the winter months of December, January, and February</w:t>
      </w:r>
      <w:r w:rsidR="00B31614">
        <w:t xml:space="preserve">. </w:t>
      </w:r>
      <w:r w:rsidR="00C736E1">
        <w:t xml:space="preserve">The Program </w:t>
      </w:r>
      <w:r>
        <w:t xml:space="preserve">design was informed in part by </w:t>
      </w:r>
      <w:r w:rsidR="00EC33A2">
        <w:t>AEP Texas</w:t>
      </w:r>
      <w:r w:rsidR="0030553B">
        <w:t>’</w:t>
      </w:r>
      <w:r>
        <w:t xml:space="preserve"> summer load management program, which has been successful and cost-effective</w:t>
      </w:r>
      <w:r w:rsidR="00F942A4">
        <w:t xml:space="preserve"> for many years</w:t>
      </w:r>
      <w:r w:rsidR="00EC33A2">
        <w:t>.</w:t>
      </w:r>
      <w:r>
        <w:t xml:space="preserve"> </w:t>
      </w:r>
      <w:r w:rsidR="00D16258">
        <w:t>Details of the Program design are provided in the narrative and table below.</w:t>
      </w:r>
    </w:p>
    <w:p w14:paraId="3B6D3EC8" w14:textId="77777777" w:rsidR="00E0645C" w:rsidRDefault="00C11B34" w:rsidP="00CE1F4C">
      <w:pPr>
        <w:pStyle w:val="BodyText"/>
      </w:pPr>
      <w:r>
        <w:t>The Program was designed to be in operation from December 1, 2021 through February 28, 2022.</w:t>
      </w:r>
      <w:r w:rsidR="00B31614">
        <w:t xml:space="preserve"> </w:t>
      </w:r>
      <w:r>
        <w:t>The Program was open to</w:t>
      </w:r>
      <w:r w:rsidR="003B4441">
        <w:t xml:space="preserve"> </w:t>
      </w:r>
      <w:r w:rsidR="006C2E7C">
        <w:t>non</w:t>
      </w:r>
      <w:r>
        <w:t>-</w:t>
      </w:r>
      <w:r w:rsidR="006C2E7C">
        <w:t>residential customers, national or local energy service companies, aggregation groups, and retail electric providers</w:t>
      </w:r>
      <w:r w:rsidR="007E22D9">
        <w:t xml:space="preserve"> (REPs)</w:t>
      </w:r>
      <w:r w:rsidR="006C2E7C">
        <w:t xml:space="preserve"> </w:t>
      </w:r>
      <w:r w:rsidR="00E0645C">
        <w:t>that could:</w:t>
      </w:r>
      <w:r w:rsidR="006C2E7C">
        <w:t xml:space="preserve"> (a) identify curtailable load</w:t>
      </w:r>
      <w:r w:rsidR="00E0645C">
        <w:t>;</w:t>
      </w:r>
      <w:r w:rsidR="006C2E7C">
        <w:t xml:space="preserve"> (b) subscribe a minimum of 100 kW of load reduction</w:t>
      </w:r>
      <w:r w:rsidR="00E0645C">
        <w:t xml:space="preserve">; </w:t>
      </w:r>
      <w:r w:rsidR="006C2E7C">
        <w:t>(c) curtail their load twenty-four hours a day, seven days a week</w:t>
      </w:r>
      <w:r w:rsidR="00E0645C">
        <w:t xml:space="preserve">; </w:t>
      </w:r>
      <w:r w:rsidR="006C2E7C">
        <w:t xml:space="preserve">and (d) curtail load within 30 </w:t>
      </w:r>
      <w:r w:rsidR="00E0645C">
        <w:t>minutes</w:t>
      </w:r>
      <w:r w:rsidR="0030553B">
        <w:t>’</w:t>
      </w:r>
      <w:r w:rsidR="00E0645C">
        <w:t xml:space="preserve"> </w:t>
      </w:r>
      <w:r w:rsidR="006C2E7C">
        <w:t>notice. Participants commit</w:t>
      </w:r>
      <w:r w:rsidR="005A302B">
        <w:t>ted</w:t>
      </w:r>
      <w:r w:rsidR="006C2E7C">
        <w:t xml:space="preserve"> to one scheduled test curtailment of up to one hour during the program period. </w:t>
      </w:r>
      <w:r w:rsidR="00E0645C">
        <w:t xml:space="preserve">AEP Texas conducted </w:t>
      </w:r>
      <w:r w:rsidR="006C2E7C">
        <w:t>test curtailment</w:t>
      </w:r>
      <w:r w:rsidR="00E0645C">
        <w:t>s</w:t>
      </w:r>
      <w:r w:rsidR="006C2E7C">
        <w:t xml:space="preserve"> to demonstrate that the </w:t>
      </w:r>
      <w:r w:rsidR="00E0645C">
        <w:t xml:space="preserve">Program </w:t>
      </w:r>
      <w:r w:rsidR="006C2E7C">
        <w:t>participant is capable of curtailing at least 100 kW. Critical load, customers participating in other load management programs</w:t>
      </w:r>
      <w:r w:rsidR="00E0645C">
        <w:t xml:space="preserve"> (</w:t>
      </w:r>
      <w:r w:rsidR="006C2E7C">
        <w:t>such as ERCOT</w:t>
      </w:r>
      <w:r w:rsidR="0030553B">
        <w:t>’</w:t>
      </w:r>
      <w:r w:rsidR="006C2E7C">
        <w:t>s emergency response service</w:t>
      </w:r>
      <w:r w:rsidR="00E0645C">
        <w:t xml:space="preserve">), </w:t>
      </w:r>
      <w:r w:rsidR="006C2E7C">
        <w:t xml:space="preserve">and load that is curtailed due to operational inability </w:t>
      </w:r>
      <w:r w:rsidR="00E0645C">
        <w:t xml:space="preserve">were </w:t>
      </w:r>
      <w:r w:rsidR="006C2E7C">
        <w:t xml:space="preserve">ineligible to participate in </w:t>
      </w:r>
      <w:r w:rsidR="00E0645C">
        <w:t>the</w:t>
      </w:r>
      <w:r w:rsidR="007A5B7A">
        <w:t xml:space="preserve"> </w:t>
      </w:r>
      <w:r w:rsidR="00E0645C">
        <w:t>Program</w:t>
      </w:r>
      <w:r w:rsidR="006C2E7C">
        <w:t xml:space="preserve">. </w:t>
      </w:r>
      <w:r w:rsidR="00E7502E">
        <w:t xml:space="preserve">The ESIIDs of potential Program participants were compared to the AEP Texas critical load and ERCOT ERS lists to ensure eligibility. </w:t>
      </w:r>
      <w:r w:rsidR="00E0645C">
        <w:t xml:space="preserve">In addition, load </w:t>
      </w:r>
      <w:r w:rsidR="006C2E7C">
        <w:t xml:space="preserve">curtailment that </w:t>
      </w:r>
      <w:r w:rsidR="00E0645C">
        <w:t xml:space="preserve">would </w:t>
      </w:r>
      <w:r w:rsidR="006C2E7C">
        <w:t xml:space="preserve">result in negative environmental or health effects </w:t>
      </w:r>
      <w:r w:rsidR="00E0645C">
        <w:t xml:space="preserve">was </w:t>
      </w:r>
      <w:r w:rsidR="006C2E7C">
        <w:t xml:space="preserve">ineligible to participate in </w:t>
      </w:r>
      <w:r w:rsidR="00E0645C">
        <w:t>the P</w:t>
      </w:r>
      <w:r w:rsidR="006C2E7C">
        <w:t xml:space="preserve">rogram, but </w:t>
      </w:r>
      <w:r w:rsidR="00E0645C">
        <w:t xml:space="preserve">that </w:t>
      </w:r>
      <w:r w:rsidR="006C2E7C">
        <w:t xml:space="preserve">restriction </w:t>
      </w:r>
      <w:r w:rsidR="00E0645C">
        <w:t xml:space="preserve">did </w:t>
      </w:r>
      <w:r w:rsidR="006C2E7C">
        <w:t xml:space="preserve">not preclude the use of </w:t>
      </w:r>
      <w:r w:rsidR="007A5B7A">
        <w:t>self-generation</w:t>
      </w:r>
      <w:r w:rsidR="006C2E7C">
        <w:t xml:space="preserve"> that </w:t>
      </w:r>
      <w:r w:rsidR="005A302B">
        <w:t xml:space="preserve">complied </w:t>
      </w:r>
      <w:r w:rsidR="006C2E7C">
        <w:t xml:space="preserve">with applicable environmental and health and safety laws. </w:t>
      </w:r>
    </w:p>
    <w:p w14:paraId="690E4C6E" w14:textId="77777777" w:rsidR="00BF586D" w:rsidRDefault="00BF586D" w:rsidP="00CE1F4C">
      <w:pPr>
        <w:pStyle w:val="BodyText"/>
      </w:pPr>
      <w:r>
        <w:t>AEP Texas reached out to non</w:t>
      </w:r>
      <w:r w:rsidR="00492336">
        <w:t>-</w:t>
      </w:r>
      <w:r>
        <w:t xml:space="preserve">residential customers, aggregation groups, and </w:t>
      </w:r>
      <w:r w:rsidR="007E22D9">
        <w:t>REP</w:t>
      </w:r>
      <w:r>
        <w:t>s</w:t>
      </w:r>
      <w:r w:rsidR="005A302B">
        <w:t xml:space="preserve"> using</w:t>
      </w:r>
      <w:r>
        <w:t xml:space="preserve"> existing e-mail distribution lists. Potential participants were required to complete an application to demonstrate eligibility for the Program. Applications were reviewed on a first-come, first-served basis. AEP Texas request</w:t>
      </w:r>
      <w:r w:rsidR="005A302B">
        <w:t>ed</w:t>
      </w:r>
      <w:r>
        <w:t xml:space="preserve"> </w:t>
      </w:r>
      <w:r w:rsidR="00D14222">
        <w:t xml:space="preserve">written </w:t>
      </w:r>
      <w:r>
        <w:t xml:space="preserve">consent from </w:t>
      </w:r>
      <w:r w:rsidR="005A302B">
        <w:t>P</w:t>
      </w:r>
      <w:r>
        <w:t xml:space="preserve">rogram participants during enrollment in the </w:t>
      </w:r>
      <w:r w:rsidR="00D14222">
        <w:t>P</w:t>
      </w:r>
      <w:r>
        <w:t>rogram to provide notice to the enrolling customers</w:t>
      </w:r>
      <w:r w:rsidR="00460380">
        <w:t>’</w:t>
      </w:r>
      <w:r>
        <w:t xml:space="preserve"> </w:t>
      </w:r>
      <w:r w:rsidR="007E22D9">
        <w:t>REP</w:t>
      </w:r>
      <w:r>
        <w:t xml:space="preserve"> of record of the customer</w:t>
      </w:r>
      <w:r w:rsidR="00460380">
        <w:t>’</w:t>
      </w:r>
      <w:r>
        <w:t>s enrollment and deployment of the customer</w:t>
      </w:r>
      <w:r w:rsidR="00460380">
        <w:t>’</w:t>
      </w:r>
      <w:r>
        <w:t xml:space="preserve">s load curtailment in the program. For each </w:t>
      </w:r>
      <w:r w:rsidR="0076654A">
        <w:t>participant</w:t>
      </w:r>
      <w:r>
        <w:t xml:space="preserve"> that provided such consent, AEP Texas </w:t>
      </w:r>
      <w:r w:rsidR="005A302B">
        <w:t>notified</w:t>
      </w:r>
      <w:r>
        <w:t xml:space="preserve"> the </w:t>
      </w:r>
      <w:r w:rsidR="0076654A">
        <w:t>participant’</w:t>
      </w:r>
      <w:r>
        <w:t xml:space="preserve">s </w:t>
      </w:r>
      <w:r w:rsidR="007E22D9">
        <w:t>REP</w:t>
      </w:r>
      <w:r>
        <w:t xml:space="preserve"> of record </w:t>
      </w:r>
      <w:r w:rsidR="00D14222">
        <w:t>within three business days</w:t>
      </w:r>
      <w:r w:rsidR="00D14222" w:rsidDel="00D14222">
        <w:t xml:space="preserve"> </w:t>
      </w:r>
      <w:r w:rsidR="00D14222">
        <w:t xml:space="preserve">of </w:t>
      </w:r>
      <w:r>
        <w:t xml:space="preserve">the </w:t>
      </w:r>
      <w:r w:rsidR="0076654A">
        <w:t>participant’</w:t>
      </w:r>
      <w:r>
        <w:t xml:space="preserve">s enrollment in </w:t>
      </w:r>
      <w:r w:rsidR="00D14222">
        <w:t>the P</w:t>
      </w:r>
      <w:r>
        <w:t xml:space="preserve">rogram </w:t>
      </w:r>
      <w:r w:rsidR="00D14222">
        <w:t>or</w:t>
      </w:r>
      <w:r>
        <w:t xml:space="preserve"> deployment of load curtailment in </w:t>
      </w:r>
      <w:r w:rsidR="00D14222">
        <w:t>the</w:t>
      </w:r>
      <w:r>
        <w:t xml:space="preserve"> </w:t>
      </w:r>
      <w:r w:rsidR="00D14222">
        <w:t>P</w:t>
      </w:r>
      <w:r>
        <w:t>rogram.</w:t>
      </w:r>
    </w:p>
    <w:p w14:paraId="649706A1" w14:textId="77777777" w:rsidR="00BF586D" w:rsidRDefault="00BF586D" w:rsidP="00CE1F4C">
      <w:pPr>
        <w:pStyle w:val="BodyText"/>
      </w:pPr>
      <w:r>
        <w:t xml:space="preserve">Under the Program, AEP Texas was permitted to call a maximum of four unscheduled events during the program period, with any single event lasting no more than four hours. AEP Texas paid Program participants $35.00 per kilowatt (“kW”) of the verified curtailed load during called events. </w:t>
      </w:r>
      <w:r w:rsidR="00A16FD2">
        <w:t xml:space="preserve">Through its experience with its summer load management program, AEP Texas has found that a $35.00/kW incentive is sufficient to attract participants and cost effective. </w:t>
      </w:r>
      <w:r>
        <w:t xml:space="preserve">AEP Texas was not required to pay for any curtailed loads that exceeded the approved kW amount. </w:t>
      </w:r>
      <w:r w:rsidR="00E44949">
        <w:t>Under the program design, t</w:t>
      </w:r>
      <w:r>
        <w:t>he total incentive paid after the conclusion of the program period w</w:t>
      </w:r>
      <w:r w:rsidR="00E44949">
        <w:t>ould be</w:t>
      </w:r>
      <w:r>
        <w:t xml:space="preserve"> based on the average performance over all unscheduled events</w:t>
      </w:r>
      <w:r w:rsidR="0030553B">
        <w:t>, or</w:t>
      </w:r>
      <w:r>
        <w:t xml:space="preserve"> </w:t>
      </w:r>
      <w:r w:rsidR="0030553B">
        <w:t>i</w:t>
      </w:r>
      <w:r w:rsidR="006C2E7C">
        <w:t xml:space="preserve">f there </w:t>
      </w:r>
      <w:r>
        <w:t xml:space="preserve">were </w:t>
      </w:r>
      <w:r w:rsidR="006C2E7C">
        <w:t xml:space="preserve">no unscheduled events, </w:t>
      </w:r>
      <w:r>
        <w:t xml:space="preserve">Program </w:t>
      </w:r>
      <w:r w:rsidR="006C2E7C">
        <w:t xml:space="preserve">participants </w:t>
      </w:r>
      <w:r w:rsidR="00E44949">
        <w:t xml:space="preserve">would </w:t>
      </w:r>
      <w:r w:rsidR="006C2E7C">
        <w:t xml:space="preserve">receive an incentive payment based on performance during the scheduled test curtailment. </w:t>
      </w:r>
    </w:p>
    <w:p w14:paraId="10E63332" w14:textId="77777777" w:rsidR="00CE1F4C" w:rsidRDefault="0012102B" w:rsidP="00CE1F4C">
      <w:pPr>
        <w:pStyle w:val="BodyText"/>
      </w:pPr>
      <w:r>
        <w:t>Under the Program’s design, f</w:t>
      </w:r>
      <w:r w:rsidR="00BF586D">
        <w:t>or each curtailment event, AEP Texas measured and verified each Program participants</w:t>
      </w:r>
      <w:r w:rsidR="0030553B">
        <w:t>’</w:t>
      </w:r>
      <w:r w:rsidR="00BF586D">
        <w:t xml:space="preserve"> performance using the methodology approved by the Commission in the Texas Technical Reference Manual. </w:t>
      </w:r>
      <w:r w:rsidR="006C2E7C">
        <w:t xml:space="preserve">AEP </w:t>
      </w:r>
      <w:r w:rsidR="00BF586D">
        <w:t xml:space="preserve">Texas </w:t>
      </w:r>
      <w:r w:rsidR="006C2E7C">
        <w:t>identif</w:t>
      </w:r>
      <w:r w:rsidR="00BF586D">
        <w:t>ied</w:t>
      </w:r>
      <w:r w:rsidR="006C2E7C">
        <w:t xml:space="preserve"> and </w:t>
      </w:r>
      <w:r w:rsidR="00BF586D">
        <w:t xml:space="preserve">verified </w:t>
      </w:r>
      <w:r w:rsidR="006C2E7C">
        <w:t xml:space="preserve">a </w:t>
      </w:r>
      <w:r w:rsidR="00BF586D">
        <w:t>Program participant</w:t>
      </w:r>
      <w:r w:rsidR="0030553B">
        <w:t>’</w:t>
      </w:r>
      <w:r w:rsidR="00BF586D">
        <w:t xml:space="preserve">s </w:t>
      </w:r>
      <w:r w:rsidR="006C2E7C">
        <w:t xml:space="preserve">load data through </w:t>
      </w:r>
      <w:r w:rsidR="007A5B7A">
        <w:t>AEP Texas</w:t>
      </w:r>
      <w:r w:rsidR="0030553B">
        <w:t>’</w:t>
      </w:r>
      <w:r w:rsidR="007A5B7A">
        <w:t xml:space="preserve"> </w:t>
      </w:r>
      <w:r w:rsidR="006C2E7C">
        <w:t>advanced metering system and provide</w:t>
      </w:r>
      <w:r w:rsidR="00BF586D">
        <w:t>d</w:t>
      </w:r>
      <w:r w:rsidR="006C2E7C">
        <w:t xml:space="preserve"> that data to Frontier Energy</w:t>
      </w:r>
      <w:r w:rsidR="00BF586D">
        <w:t>,</w:t>
      </w:r>
      <w:r w:rsidR="006C2E7C">
        <w:t xml:space="preserve"> who maintain</w:t>
      </w:r>
      <w:r>
        <w:t>ed</w:t>
      </w:r>
      <w:r w:rsidR="006C2E7C">
        <w:t xml:space="preserve"> and analyze</w:t>
      </w:r>
      <w:r>
        <w:t>d</w:t>
      </w:r>
      <w:r w:rsidR="006C2E7C">
        <w:t xml:space="preserve"> the data and calculate</w:t>
      </w:r>
      <w:r>
        <w:t>d</w:t>
      </w:r>
      <w:r w:rsidR="006C2E7C">
        <w:t xml:space="preserve"> load reduction. </w:t>
      </w:r>
    </w:p>
    <w:tbl>
      <w:tblPr>
        <w:tblStyle w:val="GridTable4-Accent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35"/>
        <w:gridCol w:w="6115"/>
      </w:tblGrid>
      <w:tr w:rsidR="00D16258" w14:paraId="05A312A5" w14:textId="77777777" w:rsidTr="0046038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35"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6A46BD6F" w14:textId="77777777" w:rsidR="00D16258" w:rsidRPr="00460380" w:rsidRDefault="00D16258" w:rsidP="00460380">
            <w:pPr>
              <w:pStyle w:val="BodyText"/>
              <w:spacing w:line="240" w:lineRule="auto"/>
              <w:ind w:firstLine="0"/>
              <w:jc w:val="center"/>
              <w:rPr>
                <w:color w:val="auto"/>
                <w:u w:val="single"/>
              </w:rPr>
            </w:pPr>
            <w:r w:rsidRPr="00460380">
              <w:rPr>
                <w:color w:val="auto"/>
                <w:u w:val="single"/>
              </w:rPr>
              <w:t>Design Parameter</w:t>
            </w:r>
          </w:p>
        </w:tc>
        <w:tc>
          <w:tcPr>
            <w:tcW w:w="6115"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36DE34F9" w14:textId="77777777" w:rsidR="00D16258" w:rsidRPr="00460380" w:rsidRDefault="00D16258" w:rsidP="00460380">
            <w:pPr>
              <w:pStyle w:val="BodyText"/>
              <w:spacing w:line="240" w:lineRule="auto"/>
              <w:ind w:firstLine="0"/>
              <w:jc w:val="center"/>
              <w:cnfStyle w:val="100000000000" w:firstRow="1" w:lastRow="0" w:firstColumn="0" w:lastColumn="0" w:oddVBand="0" w:evenVBand="0" w:oddHBand="0" w:evenHBand="0" w:firstRowFirstColumn="0" w:firstRowLastColumn="0" w:lastRowFirstColumn="0" w:lastRowLastColumn="0"/>
              <w:rPr>
                <w:color w:val="auto"/>
                <w:u w:val="single"/>
              </w:rPr>
            </w:pPr>
            <w:r w:rsidRPr="00460380">
              <w:rPr>
                <w:color w:val="auto"/>
                <w:u w:val="single"/>
              </w:rPr>
              <w:t>Metric</w:t>
            </w:r>
          </w:p>
        </w:tc>
      </w:tr>
      <w:tr w:rsidR="00D16258" w14:paraId="6D760ED8" w14:textId="77777777" w:rsidTr="004603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35" w:type="dxa"/>
            <w:tcBorders>
              <w:top w:val="single" w:sz="4" w:space="0" w:color="auto"/>
            </w:tcBorders>
          </w:tcPr>
          <w:p w14:paraId="5C0F03C7" w14:textId="77777777" w:rsidR="00D16258" w:rsidRDefault="00D16258" w:rsidP="00460380">
            <w:pPr>
              <w:pStyle w:val="BodyText"/>
              <w:spacing w:line="240" w:lineRule="auto"/>
              <w:ind w:firstLine="0"/>
            </w:pPr>
            <w:r>
              <w:t>Period</w:t>
            </w:r>
          </w:p>
        </w:tc>
        <w:tc>
          <w:tcPr>
            <w:tcW w:w="6115" w:type="dxa"/>
            <w:tcBorders>
              <w:top w:val="single" w:sz="4" w:space="0" w:color="auto"/>
            </w:tcBorders>
          </w:tcPr>
          <w:p w14:paraId="4710E034" w14:textId="77777777" w:rsidR="00D16258" w:rsidRDefault="00D16258" w:rsidP="00460380">
            <w:pPr>
              <w:pStyle w:val="BodyText"/>
              <w:spacing w:line="240" w:lineRule="auto"/>
              <w:ind w:firstLine="0"/>
              <w:cnfStyle w:val="000000100000" w:firstRow="0" w:lastRow="0" w:firstColumn="0" w:lastColumn="0" w:oddVBand="0" w:evenVBand="0" w:oddHBand="1" w:evenHBand="0" w:firstRowFirstColumn="0" w:firstRowLastColumn="0" w:lastRowFirstColumn="0" w:lastRowLastColumn="0"/>
            </w:pPr>
            <w:r>
              <w:t>December through February with savings claimed in program ending year</w:t>
            </w:r>
          </w:p>
        </w:tc>
      </w:tr>
      <w:tr w:rsidR="00D16258" w14:paraId="148F9680" w14:textId="77777777" w:rsidTr="00460380">
        <w:tc>
          <w:tcPr>
            <w:cnfStyle w:val="001000000000" w:firstRow="0" w:lastRow="0" w:firstColumn="1" w:lastColumn="0" w:oddVBand="0" w:evenVBand="0" w:oddHBand="0" w:evenHBand="0" w:firstRowFirstColumn="0" w:firstRowLastColumn="0" w:lastRowFirstColumn="0" w:lastRowLastColumn="0"/>
            <w:tcW w:w="3235" w:type="dxa"/>
          </w:tcPr>
          <w:p w14:paraId="65245A25" w14:textId="77777777" w:rsidR="00D16258" w:rsidRDefault="00D16258" w:rsidP="00460380">
            <w:pPr>
              <w:pStyle w:val="BodyText"/>
              <w:spacing w:line="240" w:lineRule="auto"/>
              <w:ind w:firstLine="0"/>
            </w:pPr>
            <w:r>
              <w:t>Operational hours</w:t>
            </w:r>
          </w:p>
        </w:tc>
        <w:tc>
          <w:tcPr>
            <w:tcW w:w="6115" w:type="dxa"/>
          </w:tcPr>
          <w:p w14:paraId="3EA32A03" w14:textId="77777777" w:rsidR="00D16258" w:rsidRDefault="00D16258" w:rsidP="00460380">
            <w:pPr>
              <w:pStyle w:val="BodyText"/>
              <w:spacing w:line="240" w:lineRule="auto"/>
              <w:ind w:firstLine="0"/>
              <w:cnfStyle w:val="000000000000" w:firstRow="0" w:lastRow="0" w:firstColumn="0" w:lastColumn="0" w:oddVBand="0" w:evenVBand="0" w:oddHBand="0" w:evenHBand="0" w:firstRowFirstColumn="0" w:firstRowLastColumn="0" w:lastRowFirstColumn="0" w:lastRowLastColumn="0"/>
            </w:pPr>
            <w:r>
              <w:t>24 hrs per day / 7 days per week</w:t>
            </w:r>
          </w:p>
        </w:tc>
      </w:tr>
      <w:tr w:rsidR="00D16258" w14:paraId="27EA9ABB" w14:textId="77777777" w:rsidTr="004603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35" w:type="dxa"/>
          </w:tcPr>
          <w:p w14:paraId="638D6512" w14:textId="77777777" w:rsidR="00D16258" w:rsidRDefault="00D16258" w:rsidP="00460380">
            <w:pPr>
              <w:pStyle w:val="BodyText"/>
              <w:spacing w:line="240" w:lineRule="auto"/>
              <w:ind w:firstLine="0"/>
            </w:pPr>
            <w:r>
              <w:t>Notice</w:t>
            </w:r>
          </w:p>
        </w:tc>
        <w:tc>
          <w:tcPr>
            <w:tcW w:w="6115" w:type="dxa"/>
          </w:tcPr>
          <w:p w14:paraId="426B42B3" w14:textId="77777777" w:rsidR="00D16258" w:rsidRDefault="00D16258" w:rsidP="00460380">
            <w:pPr>
              <w:pStyle w:val="BodyText"/>
              <w:spacing w:line="240" w:lineRule="auto"/>
              <w:ind w:firstLine="0"/>
              <w:cnfStyle w:val="000000100000" w:firstRow="0" w:lastRow="0" w:firstColumn="0" w:lastColumn="0" w:oddVBand="0" w:evenVBand="0" w:oddHBand="1" w:evenHBand="0" w:firstRowFirstColumn="0" w:firstRowLastColumn="0" w:lastRowFirstColumn="0" w:lastRowLastColumn="0"/>
            </w:pPr>
            <w:r>
              <w:t>30 minutes</w:t>
            </w:r>
          </w:p>
        </w:tc>
      </w:tr>
      <w:tr w:rsidR="00D16258" w14:paraId="4ACF2D2A" w14:textId="77777777" w:rsidTr="00460380">
        <w:tc>
          <w:tcPr>
            <w:cnfStyle w:val="001000000000" w:firstRow="0" w:lastRow="0" w:firstColumn="1" w:lastColumn="0" w:oddVBand="0" w:evenVBand="0" w:oddHBand="0" w:evenHBand="0" w:firstRowFirstColumn="0" w:firstRowLastColumn="0" w:lastRowFirstColumn="0" w:lastRowLastColumn="0"/>
            <w:tcW w:w="3235" w:type="dxa"/>
          </w:tcPr>
          <w:p w14:paraId="6E3EB945" w14:textId="77777777" w:rsidR="00D16258" w:rsidRDefault="00D16258" w:rsidP="00460380">
            <w:pPr>
              <w:pStyle w:val="BodyText"/>
              <w:spacing w:line="240" w:lineRule="auto"/>
              <w:ind w:firstLine="0"/>
            </w:pPr>
            <w:r>
              <w:t>Minimum load</w:t>
            </w:r>
          </w:p>
        </w:tc>
        <w:tc>
          <w:tcPr>
            <w:tcW w:w="6115" w:type="dxa"/>
          </w:tcPr>
          <w:p w14:paraId="775674E3" w14:textId="77777777" w:rsidR="00D16258" w:rsidRDefault="00D16258" w:rsidP="00460380">
            <w:pPr>
              <w:pStyle w:val="BodyText"/>
              <w:spacing w:line="240" w:lineRule="auto"/>
              <w:ind w:firstLine="0"/>
              <w:cnfStyle w:val="000000000000" w:firstRow="0" w:lastRow="0" w:firstColumn="0" w:lastColumn="0" w:oddVBand="0" w:evenVBand="0" w:oddHBand="0" w:evenHBand="0" w:firstRowFirstColumn="0" w:firstRowLastColumn="0" w:lastRowFirstColumn="0" w:lastRowLastColumn="0"/>
            </w:pPr>
            <w:r>
              <w:t>100 kW</w:t>
            </w:r>
          </w:p>
        </w:tc>
      </w:tr>
      <w:tr w:rsidR="00D16258" w14:paraId="6118D4FF" w14:textId="77777777" w:rsidTr="004603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35" w:type="dxa"/>
          </w:tcPr>
          <w:p w14:paraId="0904721D" w14:textId="77777777" w:rsidR="00D16258" w:rsidRDefault="00D16258" w:rsidP="00460380">
            <w:pPr>
              <w:pStyle w:val="BodyText"/>
              <w:spacing w:line="240" w:lineRule="auto"/>
              <w:ind w:firstLine="0"/>
            </w:pPr>
            <w:r>
              <w:t>Eligible participant</w:t>
            </w:r>
            <w:r w:rsidR="00492336">
              <w:t xml:space="preserve"> groups</w:t>
            </w:r>
          </w:p>
        </w:tc>
        <w:tc>
          <w:tcPr>
            <w:tcW w:w="6115" w:type="dxa"/>
          </w:tcPr>
          <w:p w14:paraId="0A9A6B73" w14:textId="77777777" w:rsidR="00D16258" w:rsidRDefault="00492336" w:rsidP="00460380">
            <w:pPr>
              <w:pStyle w:val="BodyText"/>
              <w:spacing w:line="240" w:lineRule="auto"/>
              <w:ind w:firstLine="0"/>
              <w:cnfStyle w:val="000000100000" w:firstRow="0" w:lastRow="0" w:firstColumn="0" w:lastColumn="0" w:oddVBand="0" w:evenVBand="0" w:oddHBand="1" w:evenHBand="0" w:firstRowFirstColumn="0" w:firstRowLastColumn="0" w:lastRowFirstColumn="0" w:lastRowLastColumn="0"/>
            </w:pPr>
            <w:r>
              <w:t xml:space="preserve">Non-residential customers, national or local energy service companies, aggregation groups, and </w:t>
            </w:r>
            <w:r w:rsidR="007E22D9">
              <w:t>REPs</w:t>
            </w:r>
          </w:p>
        </w:tc>
      </w:tr>
      <w:tr w:rsidR="00D16258" w14:paraId="51333D1E" w14:textId="77777777" w:rsidTr="00460380">
        <w:tc>
          <w:tcPr>
            <w:cnfStyle w:val="001000000000" w:firstRow="0" w:lastRow="0" w:firstColumn="1" w:lastColumn="0" w:oddVBand="0" w:evenVBand="0" w:oddHBand="0" w:evenHBand="0" w:firstRowFirstColumn="0" w:firstRowLastColumn="0" w:lastRowFirstColumn="0" w:lastRowLastColumn="0"/>
            <w:tcW w:w="3235" w:type="dxa"/>
          </w:tcPr>
          <w:p w14:paraId="10B019A6" w14:textId="77777777" w:rsidR="00D16258" w:rsidRDefault="00D16258" w:rsidP="00460380">
            <w:pPr>
              <w:pStyle w:val="BodyText"/>
              <w:spacing w:line="240" w:lineRule="auto"/>
              <w:ind w:firstLine="0"/>
            </w:pPr>
            <w:r>
              <w:t>Restrictions on Participation</w:t>
            </w:r>
          </w:p>
        </w:tc>
        <w:tc>
          <w:tcPr>
            <w:tcW w:w="6115" w:type="dxa"/>
          </w:tcPr>
          <w:p w14:paraId="4ED4B511" w14:textId="77777777" w:rsidR="00D16258" w:rsidRDefault="00492336" w:rsidP="00460380">
            <w:pPr>
              <w:pStyle w:val="BodyText"/>
              <w:spacing w:line="240" w:lineRule="auto"/>
              <w:ind w:firstLine="0"/>
              <w:cnfStyle w:val="000000000000" w:firstRow="0" w:lastRow="0" w:firstColumn="0" w:lastColumn="0" w:oddVBand="0" w:evenVBand="0" w:oddHBand="0" w:evenHBand="0" w:firstRowFirstColumn="0" w:firstRowLastColumn="0" w:lastRowFirstColumn="0" w:lastRowLastColumn="0"/>
            </w:pPr>
            <w:r>
              <w:t>Critical load, customers participating in other load management programs (such as ERCOT’s emergency response service), and load that is curtailed due to operational inability were ineligible to participate in the Program.</w:t>
            </w:r>
          </w:p>
        </w:tc>
      </w:tr>
      <w:tr w:rsidR="00D16258" w14:paraId="07E48A80" w14:textId="77777777" w:rsidTr="004603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35" w:type="dxa"/>
          </w:tcPr>
          <w:p w14:paraId="35BC8FFA" w14:textId="77777777" w:rsidR="00D16258" w:rsidRDefault="00D16258" w:rsidP="00460380">
            <w:pPr>
              <w:pStyle w:val="BodyText"/>
              <w:spacing w:line="240" w:lineRule="auto"/>
              <w:ind w:firstLine="0"/>
            </w:pPr>
            <w:r>
              <w:t>Scheduled events</w:t>
            </w:r>
          </w:p>
        </w:tc>
        <w:tc>
          <w:tcPr>
            <w:tcW w:w="6115" w:type="dxa"/>
          </w:tcPr>
          <w:p w14:paraId="1DEC28C3" w14:textId="77777777" w:rsidR="00D16258" w:rsidRDefault="00191E22" w:rsidP="00460380">
            <w:pPr>
              <w:pStyle w:val="BodyText"/>
              <w:spacing w:line="240" w:lineRule="auto"/>
              <w:ind w:firstLine="0"/>
              <w:cnfStyle w:val="000000100000" w:firstRow="0" w:lastRow="0" w:firstColumn="0" w:lastColumn="0" w:oddVBand="0" w:evenVBand="0" w:oddHBand="1" w:evenHBand="0" w:firstRowFirstColumn="0" w:firstRowLastColumn="0" w:lastRowFirstColumn="0" w:lastRowLastColumn="0"/>
            </w:pPr>
            <w:r>
              <w:t>One event of up to one hour</w:t>
            </w:r>
          </w:p>
        </w:tc>
      </w:tr>
      <w:tr w:rsidR="00D16258" w14:paraId="73828533" w14:textId="77777777" w:rsidTr="00460380">
        <w:tc>
          <w:tcPr>
            <w:cnfStyle w:val="001000000000" w:firstRow="0" w:lastRow="0" w:firstColumn="1" w:lastColumn="0" w:oddVBand="0" w:evenVBand="0" w:oddHBand="0" w:evenHBand="0" w:firstRowFirstColumn="0" w:firstRowLastColumn="0" w:lastRowFirstColumn="0" w:lastRowLastColumn="0"/>
            <w:tcW w:w="3235" w:type="dxa"/>
          </w:tcPr>
          <w:p w14:paraId="65A1F2D1" w14:textId="77777777" w:rsidR="00D16258" w:rsidRDefault="00D16258" w:rsidP="00460380">
            <w:pPr>
              <w:pStyle w:val="BodyText"/>
              <w:spacing w:line="240" w:lineRule="auto"/>
              <w:ind w:firstLine="0"/>
            </w:pPr>
            <w:r>
              <w:t>Unscheduled events/Duration</w:t>
            </w:r>
          </w:p>
        </w:tc>
        <w:tc>
          <w:tcPr>
            <w:tcW w:w="6115" w:type="dxa"/>
          </w:tcPr>
          <w:p w14:paraId="10ED1D1C" w14:textId="77777777" w:rsidR="00D16258" w:rsidRDefault="0012102B" w:rsidP="00460380">
            <w:pPr>
              <w:pStyle w:val="BodyText"/>
              <w:spacing w:line="240" w:lineRule="auto"/>
              <w:ind w:firstLine="0"/>
              <w:cnfStyle w:val="000000000000" w:firstRow="0" w:lastRow="0" w:firstColumn="0" w:lastColumn="0" w:oddVBand="0" w:evenVBand="0" w:oddHBand="0" w:evenHBand="0" w:firstRowFirstColumn="0" w:firstRowLastColumn="0" w:lastRowFirstColumn="0" w:lastRowLastColumn="0"/>
            </w:pPr>
            <w:r>
              <w:t>Four</w:t>
            </w:r>
            <w:r w:rsidR="00191E22">
              <w:t xml:space="preserve"> events of no more than </w:t>
            </w:r>
            <w:r>
              <w:t>four</w:t>
            </w:r>
            <w:r w:rsidR="00191E22">
              <w:t xml:space="preserve"> hours each</w:t>
            </w:r>
          </w:p>
        </w:tc>
      </w:tr>
      <w:tr w:rsidR="00D16258" w14:paraId="59BA41D2" w14:textId="77777777" w:rsidTr="004603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35" w:type="dxa"/>
          </w:tcPr>
          <w:p w14:paraId="713CE10C" w14:textId="77777777" w:rsidR="00D16258" w:rsidRDefault="00D16258" w:rsidP="00460380">
            <w:pPr>
              <w:pStyle w:val="BodyText"/>
              <w:spacing w:line="240" w:lineRule="auto"/>
              <w:ind w:firstLine="0"/>
            </w:pPr>
            <w:r>
              <w:t>Budget</w:t>
            </w:r>
          </w:p>
        </w:tc>
        <w:tc>
          <w:tcPr>
            <w:tcW w:w="6115" w:type="dxa"/>
          </w:tcPr>
          <w:p w14:paraId="47927C60" w14:textId="77777777" w:rsidR="00D16258" w:rsidRDefault="00492336" w:rsidP="00460380">
            <w:pPr>
              <w:pStyle w:val="BodyText"/>
              <w:spacing w:line="240" w:lineRule="auto"/>
              <w:ind w:firstLine="0"/>
              <w:cnfStyle w:val="000000100000" w:firstRow="0" w:lastRow="0" w:firstColumn="0" w:lastColumn="0" w:oddVBand="0" w:evenVBand="0" w:oddHBand="1" w:evenHBand="0" w:firstRowFirstColumn="0" w:firstRowLastColumn="0" w:lastRowFirstColumn="0" w:lastRowLastColumn="0"/>
            </w:pPr>
            <w:r>
              <w:t xml:space="preserve">$350,000 </w:t>
            </w:r>
            <w:r w:rsidR="00106049">
              <w:t>for up to 10 MW in subscriptions</w:t>
            </w:r>
          </w:p>
        </w:tc>
      </w:tr>
      <w:tr w:rsidR="00D16258" w14:paraId="7307CC84" w14:textId="77777777" w:rsidTr="00460380">
        <w:tc>
          <w:tcPr>
            <w:cnfStyle w:val="001000000000" w:firstRow="0" w:lastRow="0" w:firstColumn="1" w:lastColumn="0" w:oddVBand="0" w:evenVBand="0" w:oddHBand="0" w:evenHBand="0" w:firstRowFirstColumn="0" w:firstRowLastColumn="0" w:lastRowFirstColumn="0" w:lastRowLastColumn="0"/>
            <w:tcW w:w="3235" w:type="dxa"/>
          </w:tcPr>
          <w:p w14:paraId="597BF20D" w14:textId="77777777" w:rsidR="00D16258" w:rsidRDefault="00D16258" w:rsidP="00460380">
            <w:pPr>
              <w:pStyle w:val="BodyText"/>
              <w:spacing w:line="240" w:lineRule="auto"/>
              <w:ind w:firstLine="0"/>
            </w:pPr>
            <w:r>
              <w:t>Incentive</w:t>
            </w:r>
          </w:p>
        </w:tc>
        <w:tc>
          <w:tcPr>
            <w:tcW w:w="6115" w:type="dxa"/>
          </w:tcPr>
          <w:p w14:paraId="0301B19F" w14:textId="77777777" w:rsidR="00D16258" w:rsidRDefault="00492336" w:rsidP="00460380">
            <w:pPr>
              <w:pStyle w:val="BodyText"/>
              <w:spacing w:line="240" w:lineRule="auto"/>
              <w:ind w:firstLine="0"/>
              <w:cnfStyle w:val="000000000000" w:firstRow="0" w:lastRow="0" w:firstColumn="0" w:lastColumn="0" w:oddVBand="0" w:evenVBand="0" w:oddHBand="0" w:evenHBand="0" w:firstRowFirstColumn="0" w:firstRowLastColumn="0" w:lastRowFirstColumn="0" w:lastRowLastColumn="0"/>
            </w:pPr>
            <w:r>
              <w:t>$35 / kW</w:t>
            </w:r>
          </w:p>
        </w:tc>
      </w:tr>
    </w:tbl>
    <w:p w14:paraId="0D3DE729" w14:textId="77777777" w:rsidR="00CE1F4C" w:rsidRDefault="00CE1F4C" w:rsidP="00CE1F4C">
      <w:pPr>
        <w:pStyle w:val="Heading1"/>
      </w:pPr>
      <w:bookmarkStart w:id="2" w:name="_Toc102742043"/>
      <w:r>
        <w:t>Program Results</w:t>
      </w:r>
      <w:bookmarkEnd w:id="2"/>
    </w:p>
    <w:p w14:paraId="1AD9B609" w14:textId="77777777" w:rsidR="007C4E2F" w:rsidRDefault="007F0A4D" w:rsidP="00790E04">
      <w:pPr>
        <w:pStyle w:val="BodyText"/>
      </w:pPr>
      <w:r>
        <w:t xml:space="preserve">AEP </w:t>
      </w:r>
      <w:r w:rsidR="007A5B7A">
        <w:t xml:space="preserve">Texas </w:t>
      </w:r>
      <w:r w:rsidR="008761CB">
        <w:t xml:space="preserve">began </w:t>
      </w:r>
      <w:r w:rsidR="000B4242">
        <w:t xml:space="preserve">accepting Program </w:t>
      </w:r>
      <w:r w:rsidR="0012102B">
        <w:t>a</w:t>
      </w:r>
      <w:r w:rsidR="000B4242">
        <w:t xml:space="preserve">pplications on </w:t>
      </w:r>
      <w:r w:rsidR="00256500">
        <w:t>January 12, 2022</w:t>
      </w:r>
      <w:r w:rsidR="008761CB">
        <w:t>, the same day a written order was issued authorizing the Program</w:t>
      </w:r>
      <w:r w:rsidR="00256500">
        <w:t xml:space="preserve">. </w:t>
      </w:r>
      <w:r w:rsidR="00712F09">
        <w:t>Th</w:t>
      </w:r>
      <w:r w:rsidR="007B5A1D">
        <w:t>e</w:t>
      </w:r>
      <w:r w:rsidR="00712F09">
        <w:t xml:space="preserve"> </w:t>
      </w:r>
      <w:r w:rsidR="00C22B07">
        <w:t xml:space="preserve">Program </w:t>
      </w:r>
      <w:r w:rsidR="00E15008">
        <w:t xml:space="preserve">implementation was </w:t>
      </w:r>
      <w:r w:rsidR="00C22B07">
        <w:t xml:space="preserve">from January </w:t>
      </w:r>
      <w:r w:rsidR="00082F7B">
        <w:t>24, 2022 through February 28, 2022.</w:t>
      </w:r>
      <w:r w:rsidR="00712F09">
        <w:t xml:space="preserve"> </w:t>
      </w:r>
      <w:r w:rsidR="00A45099">
        <w:t xml:space="preserve">Three </w:t>
      </w:r>
      <w:r w:rsidR="0030553B">
        <w:t xml:space="preserve">Program </w:t>
      </w:r>
      <w:r w:rsidR="00A45099">
        <w:t>participants</w:t>
      </w:r>
      <w:r w:rsidR="00AD5DB0">
        <w:t xml:space="preserve"> submitt</w:t>
      </w:r>
      <w:r w:rsidR="001A340F">
        <w:t>ed</w:t>
      </w:r>
      <w:r w:rsidR="00AD5DB0">
        <w:t xml:space="preserve"> </w:t>
      </w:r>
      <w:r w:rsidR="0014670C">
        <w:t>an enrollment</w:t>
      </w:r>
      <w:r w:rsidR="00E25A71">
        <w:t xml:space="preserve"> including o</w:t>
      </w:r>
      <w:r w:rsidR="00AD5DB0">
        <w:t xml:space="preserve">ne </w:t>
      </w:r>
      <w:r w:rsidR="006B6B4F">
        <w:t>ESIID</w:t>
      </w:r>
      <w:r w:rsidR="00D50597">
        <w:t>/</w:t>
      </w:r>
      <w:r w:rsidR="00AD5DB0">
        <w:t xml:space="preserve">site </w:t>
      </w:r>
      <w:r w:rsidR="00E25A71">
        <w:t xml:space="preserve">for </w:t>
      </w:r>
      <w:r w:rsidR="00AD5DB0">
        <w:t>each</w:t>
      </w:r>
      <w:r w:rsidR="003C1506">
        <w:t xml:space="preserve"> enrollment</w:t>
      </w:r>
      <w:r w:rsidR="00D50597">
        <w:t xml:space="preserve">. </w:t>
      </w:r>
      <w:r w:rsidR="00F36A85">
        <w:t>These sites included a</w:t>
      </w:r>
      <w:r w:rsidR="00C86A8B">
        <w:t>n educational institution</w:t>
      </w:r>
      <w:r w:rsidR="00F36A85">
        <w:t xml:space="preserve">, </w:t>
      </w:r>
      <w:r w:rsidR="00C86A8B">
        <w:t xml:space="preserve">a </w:t>
      </w:r>
      <w:r w:rsidR="00F36A85">
        <w:t>cold storage facility</w:t>
      </w:r>
      <w:r w:rsidR="00C07BF8">
        <w:t>,</w:t>
      </w:r>
      <w:r w:rsidR="00F36A85">
        <w:t xml:space="preserve"> and an </w:t>
      </w:r>
      <w:r w:rsidR="00E971E0">
        <w:t xml:space="preserve">oil mill. </w:t>
      </w:r>
      <w:r w:rsidR="0076654A">
        <w:t xml:space="preserve">As noted earlier, for each </w:t>
      </w:r>
      <w:r w:rsidR="00C86A8B">
        <w:t xml:space="preserve">of the two </w:t>
      </w:r>
      <w:r w:rsidR="0076654A">
        <w:t>participant</w:t>
      </w:r>
      <w:r w:rsidR="00C86A8B">
        <w:t>s</w:t>
      </w:r>
      <w:r w:rsidR="0076654A">
        <w:t xml:space="preserve"> that provided consent, AEP Texas notified the participant’s </w:t>
      </w:r>
      <w:r w:rsidR="007E22D9">
        <w:t>REP</w:t>
      </w:r>
      <w:r w:rsidR="0076654A">
        <w:t xml:space="preserve"> of record within three business days</w:t>
      </w:r>
      <w:r w:rsidR="0076654A" w:rsidDel="00D14222">
        <w:t xml:space="preserve"> </w:t>
      </w:r>
      <w:r w:rsidR="0076654A">
        <w:t xml:space="preserve">of the participant’s enrollment in the Program or deployment of load curtailment in the Program. </w:t>
      </w:r>
      <w:r w:rsidR="00C07BF8">
        <w:t>The actual Program demand reduction achieved was 2,797.28 kW and the associated incentive payment was $97,904.80.</w:t>
      </w:r>
      <w:r w:rsidR="006D537E">
        <w:t xml:space="preserve"> </w:t>
      </w:r>
    </w:p>
    <w:p w14:paraId="2D293C34" w14:textId="77777777" w:rsidR="007C4E2F" w:rsidRDefault="00DE30F3" w:rsidP="00790E04">
      <w:pPr>
        <w:pStyle w:val="BodyText"/>
      </w:pPr>
      <w:r>
        <w:t xml:space="preserve">On January 19, 2022, </w:t>
      </w:r>
      <w:r w:rsidR="007C4E2F">
        <w:t>AEP Texas submitted the Memorandum of Understanding (MOU) required information to ER</w:t>
      </w:r>
      <w:r w:rsidR="0076654A">
        <w:t>CO</w:t>
      </w:r>
      <w:r w:rsidR="007C4E2F">
        <w:t>T. This information included: (1) the number of megawatts of Program capacity procured for that year; (2) the maximum duration of each single deployment; (3)</w:t>
      </w:r>
      <w:r w:rsidR="007E22D9">
        <w:t> </w:t>
      </w:r>
      <w:r w:rsidR="007C4E2F">
        <w:t>the maximum total duration of all deployments</w:t>
      </w:r>
      <w:r w:rsidR="00C86A8B">
        <w:t>; and</w:t>
      </w:r>
      <w:r w:rsidR="007C4E2F">
        <w:t xml:space="preserve"> (4) the maximum number of deployments that may be required</w:t>
      </w:r>
      <w:r w:rsidR="00C86A8B">
        <w:t xml:space="preserve">. </w:t>
      </w:r>
      <w:r w:rsidR="007E22D9">
        <w:t xml:space="preserve"> </w:t>
      </w:r>
    </w:p>
    <w:p w14:paraId="21F774EE" w14:textId="2755322B" w:rsidR="007C4E2F" w:rsidRDefault="007C4E2F" w:rsidP="00790E04">
      <w:pPr>
        <w:pStyle w:val="BodyText"/>
      </w:pPr>
      <w:r>
        <w:t>AEP Texas tested its Notification System with the program participants on January 21, 2022 at 10:00 AM. All participants were requested and confirm</w:t>
      </w:r>
      <w:r w:rsidR="00DE30F3">
        <w:t>ed</w:t>
      </w:r>
      <w:r>
        <w:t xml:space="preserve"> they received this Notification System test email and/or phone call. A one-hour test event occurred on January 24, 2022 from 10:08 AM to 11:08 AM for two </w:t>
      </w:r>
      <w:r w:rsidR="00DE30F3">
        <w:t>P</w:t>
      </w:r>
      <w:r>
        <w:t>rogram participants</w:t>
      </w:r>
      <w:r w:rsidR="00DE30F3">
        <w:t>.</w:t>
      </w:r>
      <w:r>
        <w:t xml:space="preserve"> </w:t>
      </w:r>
      <w:r w:rsidR="00DE30F3">
        <w:t>F</w:t>
      </w:r>
      <w:r>
        <w:t>or the remaining participant, a one-hour test event occurred on February 15, 2022 from 10:04 AM to 11:04 AM. Prior to any test deployment of the Program, AEP Texas notified the ERCOT control room (via email according to the terms for the operation and deployment) of each TDU-administered load management program.</w:t>
      </w:r>
      <w:r w:rsidR="00DE30F3">
        <w:t xml:space="preserve"> Within three business days of the test event, AEP Texas also provided notice to the REPs of record of customers that provided written consent for AEP Texas to provide such notice. </w:t>
      </w:r>
    </w:p>
    <w:p w14:paraId="2D4D805D" w14:textId="77777777" w:rsidR="00E768A1" w:rsidRDefault="004A074C" w:rsidP="00CE1F4C">
      <w:pPr>
        <w:pStyle w:val="BodyText"/>
      </w:pPr>
      <w:r>
        <w:t xml:space="preserve">No actual EEA-2 events were called, </w:t>
      </w:r>
      <w:r w:rsidR="007C4E2F">
        <w:t xml:space="preserve">but the Program was available during winter storm Landon (February 1 – 9, 2022). </w:t>
      </w:r>
    </w:p>
    <w:p w14:paraId="11424894" w14:textId="77777777" w:rsidR="00CE1F4C" w:rsidRDefault="00CE1F4C" w:rsidP="00CE1F4C">
      <w:pPr>
        <w:pStyle w:val="Heading1"/>
      </w:pPr>
      <w:bookmarkStart w:id="3" w:name="_Toc102742044"/>
      <w:r>
        <w:t>Lessons Learned</w:t>
      </w:r>
      <w:bookmarkEnd w:id="3"/>
    </w:p>
    <w:p w14:paraId="36E7129C" w14:textId="77777777" w:rsidR="00FC1348" w:rsidRDefault="00FC1348" w:rsidP="00CE1F4C">
      <w:pPr>
        <w:pStyle w:val="BodyText"/>
      </w:pPr>
      <w:r>
        <w:t xml:space="preserve">AEP Texas has long had in place a successful summer load management program, and recent events have shown that load management programs outside the summer months can be valuable tools to help maintain grid reliability.  Last winter, AEP Texas offered an interim winter load management pilot program, and </w:t>
      </w:r>
      <w:r w:rsidR="00327859" w:rsidRPr="00011E4B">
        <w:t>based on the potential</w:t>
      </w:r>
      <w:r w:rsidR="002744FE" w:rsidRPr="00011E4B">
        <w:t xml:space="preserve"> benefits</w:t>
      </w:r>
      <w:r w:rsidR="00327859" w:rsidRPr="00011E4B">
        <w:t>,</w:t>
      </w:r>
      <w:r w:rsidR="00327859">
        <w:t xml:space="preserve"> </w:t>
      </w:r>
      <w:r w:rsidR="00EC48DC">
        <w:t xml:space="preserve">AEP Texas </w:t>
      </w:r>
      <w:r w:rsidR="007E22D9">
        <w:t>is considering offering another</w:t>
      </w:r>
      <w:r w:rsidR="00EC48DC">
        <w:t xml:space="preserve"> winter load management program between December 1, 2022 through February 28, 2023. </w:t>
      </w:r>
      <w:r>
        <w:t xml:space="preserve">Through its experience with the </w:t>
      </w:r>
      <w:r w:rsidR="00556AD4">
        <w:t>interim winter load management</w:t>
      </w:r>
      <w:r>
        <w:t xml:space="preserve"> program, AEP Texas offers the following lessons learned.  </w:t>
      </w:r>
    </w:p>
    <w:p w14:paraId="59C1B107" w14:textId="77777777" w:rsidR="00CE1F4C" w:rsidRDefault="00CE1F4C" w:rsidP="00CE1F4C">
      <w:pPr>
        <w:pStyle w:val="Heading2"/>
      </w:pPr>
      <w:bookmarkStart w:id="4" w:name="_Toc102742045"/>
      <w:r>
        <w:t>Program Design</w:t>
      </w:r>
      <w:bookmarkEnd w:id="4"/>
    </w:p>
    <w:p w14:paraId="76B148E2" w14:textId="19E5112B" w:rsidR="00556AD4" w:rsidRPr="00CE1F4C" w:rsidRDefault="00EA271E" w:rsidP="00556AD4">
      <w:pPr>
        <w:pStyle w:val="BodyText"/>
        <w:numPr>
          <w:ilvl w:val="0"/>
          <w:numId w:val="22"/>
        </w:numPr>
      </w:pPr>
      <w:r>
        <w:t>The number of events, length of each event and potentially splitting these events into multiple segments based on the time of day are important</w:t>
      </w:r>
      <w:r w:rsidR="00675B7D">
        <w:t xml:space="preserve"> considerations</w:t>
      </w:r>
      <w:r>
        <w:t>.</w:t>
      </w:r>
      <w:r w:rsidR="00556AD4">
        <w:t xml:space="preserve">  </w:t>
      </w:r>
    </w:p>
    <w:p w14:paraId="0A460329" w14:textId="77777777" w:rsidR="00166E5D" w:rsidRDefault="00EA271E" w:rsidP="001B0C8F">
      <w:pPr>
        <w:pStyle w:val="BodyText"/>
        <w:numPr>
          <w:ilvl w:val="0"/>
          <w:numId w:val="22"/>
        </w:numPr>
      </w:pPr>
      <w:r>
        <w:t xml:space="preserve">Incentive level(s) </w:t>
      </w:r>
      <w:r w:rsidR="00FD2F94">
        <w:t xml:space="preserve">may be </w:t>
      </w:r>
      <w:r w:rsidR="007411CA">
        <w:t xml:space="preserve">based on customer size, </w:t>
      </w:r>
      <w:r w:rsidR="00C7221F">
        <w:t>available load, operation, etc.</w:t>
      </w:r>
    </w:p>
    <w:p w14:paraId="3AF3F584" w14:textId="77777777" w:rsidR="00333BC7" w:rsidRDefault="00EA271E" w:rsidP="001B0C8F">
      <w:pPr>
        <w:pStyle w:val="BodyText"/>
        <w:numPr>
          <w:ilvl w:val="0"/>
          <w:numId w:val="22"/>
        </w:numPr>
      </w:pPr>
      <w:r>
        <w:t xml:space="preserve">Critical care or critical load customers </w:t>
      </w:r>
      <w:r w:rsidR="00333BC7">
        <w:t>with backup generation could be potential participants.</w:t>
      </w:r>
    </w:p>
    <w:p w14:paraId="3C1E9694" w14:textId="77777777" w:rsidR="00CE1F4C" w:rsidRDefault="00CE1F4C" w:rsidP="00CE1F4C">
      <w:pPr>
        <w:pStyle w:val="Heading2"/>
      </w:pPr>
      <w:bookmarkStart w:id="5" w:name="_Toc102742046"/>
      <w:r>
        <w:t>Operational</w:t>
      </w:r>
      <w:bookmarkEnd w:id="5"/>
    </w:p>
    <w:p w14:paraId="7C838C7F" w14:textId="77777777" w:rsidR="00221592" w:rsidRDefault="00221592" w:rsidP="00221592">
      <w:pPr>
        <w:pStyle w:val="BodyText"/>
        <w:numPr>
          <w:ilvl w:val="0"/>
          <w:numId w:val="24"/>
        </w:numPr>
      </w:pPr>
      <w:r w:rsidRPr="00221592">
        <w:t xml:space="preserve">Align TDU program implementation with </w:t>
      </w:r>
      <w:r w:rsidR="004E4B3C">
        <w:t xml:space="preserve">ERCOT’s </w:t>
      </w:r>
      <w:r w:rsidRPr="00221592">
        <w:t xml:space="preserve">ERS </w:t>
      </w:r>
      <w:r w:rsidR="00DF2F81">
        <w:t xml:space="preserve">program </w:t>
      </w:r>
      <w:r w:rsidRPr="00221592">
        <w:t>timeline</w:t>
      </w:r>
      <w:r w:rsidR="00605CD0">
        <w:t>.</w:t>
      </w:r>
    </w:p>
    <w:p w14:paraId="5DB1D115" w14:textId="77777777" w:rsidR="00CB7B99" w:rsidRDefault="005E2CCD" w:rsidP="00EC06A7">
      <w:pPr>
        <w:pStyle w:val="BodyText"/>
        <w:numPr>
          <w:ilvl w:val="0"/>
          <w:numId w:val="24"/>
        </w:numPr>
      </w:pPr>
      <w:r>
        <w:t xml:space="preserve">Program design and outreach efforts should occur </w:t>
      </w:r>
      <w:r w:rsidR="00DB3FA0">
        <w:t xml:space="preserve">in </w:t>
      </w:r>
      <w:r w:rsidR="004F0CA9">
        <w:t>early September.</w:t>
      </w:r>
    </w:p>
    <w:p w14:paraId="09AEF0AB" w14:textId="77777777" w:rsidR="00EC06A7" w:rsidRDefault="00EC06A7" w:rsidP="00EC06A7">
      <w:pPr>
        <w:pStyle w:val="BodyText"/>
        <w:numPr>
          <w:ilvl w:val="0"/>
          <w:numId w:val="24"/>
        </w:numPr>
      </w:pPr>
      <w:r>
        <w:t xml:space="preserve">Optimal timing and sharing of information with ERCOT </w:t>
      </w:r>
      <w:r w:rsidR="00112897">
        <w:t>are</w:t>
      </w:r>
      <w:r w:rsidR="005F5087">
        <w:t xml:space="preserve"> essential to prevent double counting of program participants</w:t>
      </w:r>
      <w:r>
        <w:t xml:space="preserve">. </w:t>
      </w:r>
    </w:p>
    <w:p w14:paraId="17538207" w14:textId="77777777" w:rsidR="00221592" w:rsidRDefault="00902DD5" w:rsidP="00221592">
      <w:pPr>
        <w:pStyle w:val="BodyText"/>
        <w:numPr>
          <w:ilvl w:val="0"/>
          <w:numId w:val="24"/>
        </w:numPr>
      </w:pPr>
      <w:r>
        <w:t xml:space="preserve">Revising and streamlining </w:t>
      </w:r>
      <w:r w:rsidR="00E2267E">
        <w:t xml:space="preserve">the </w:t>
      </w:r>
      <w:r w:rsidR="008A3426">
        <w:t xml:space="preserve">AEP Texas internal </w:t>
      </w:r>
      <w:r w:rsidR="00D67D54">
        <w:t xml:space="preserve">and participant </w:t>
      </w:r>
      <w:r w:rsidR="00E2267E">
        <w:t>notification process is critical.</w:t>
      </w:r>
    </w:p>
    <w:p w14:paraId="79AFF8F7" w14:textId="77777777" w:rsidR="00A53650" w:rsidRDefault="00FF73A5" w:rsidP="00221592">
      <w:pPr>
        <w:pStyle w:val="BodyText"/>
        <w:numPr>
          <w:ilvl w:val="0"/>
          <w:numId w:val="24"/>
        </w:numPr>
      </w:pPr>
      <w:r>
        <w:t xml:space="preserve">Identify </w:t>
      </w:r>
      <w:r w:rsidR="00800E8B">
        <w:t xml:space="preserve">critical care </w:t>
      </w:r>
      <w:r w:rsidR="00B1060F">
        <w:t>a</w:t>
      </w:r>
      <w:r w:rsidR="00EC06A7">
        <w:t>nd critical load</w:t>
      </w:r>
      <w:r w:rsidR="00800E8B">
        <w:t xml:space="preserve"> </w:t>
      </w:r>
      <w:r w:rsidR="00195C6B">
        <w:t xml:space="preserve">customers </w:t>
      </w:r>
      <w:r w:rsidR="00EC06A7">
        <w:t>for</w:t>
      </w:r>
      <w:r w:rsidR="00593BC7">
        <w:t xml:space="preserve"> </w:t>
      </w:r>
      <w:r w:rsidR="00E779D3">
        <w:t xml:space="preserve">participation or </w:t>
      </w:r>
      <w:r w:rsidR="004F1DE1">
        <w:t>non</w:t>
      </w:r>
      <w:r w:rsidR="00593BC7">
        <w:t>-</w:t>
      </w:r>
      <w:r w:rsidR="004F1DE1">
        <w:t>participation</w:t>
      </w:r>
      <w:r w:rsidR="00605CD0">
        <w:t>.</w:t>
      </w:r>
    </w:p>
    <w:p w14:paraId="6EEF254C" w14:textId="6D62A128" w:rsidR="00D20D43" w:rsidRDefault="00C9621E" w:rsidP="00605CD0">
      <w:pPr>
        <w:pStyle w:val="BodyText"/>
        <w:numPr>
          <w:ilvl w:val="0"/>
          <w:numId w:val="24"/>
        </w:numPr>
      </w:pPr>
      <w:r>
        <w:t xml:space="preserve">Temperatures </w:t>
      </w:r>
      <w:r w:rsidR="00714276">
        <w:t xml:space="preserve">in </w:t>
      </w:r>
      <w:r>
        <w:t xml:space="preserve">early </w:t>
      </w:r>
      <w:r w:rsidR="00714276">
        <w:t xml:space="preserve">December </w:t>
      </w:r>
      <w:r w:rsidR="00990294">
        <w:t>vary dram</w:t>
      </w:r>
      <w:r w:rsidR="00987888">
        <w:t>ati</w:t>
      </w:r>
      <w:r w:rsidR="00990294">
        <w:t>c</w:t>
      </w:r>
      <w:r w:rsidR="00990F6C">
        <w:t xml:space="preserve">ally and the </w:t>
      </w:r>
      <w:r w:rsidR="00675B7D">
        <w:t>t</w:t>
      </w:r>
      <w:r w:rsidR="002839AA">
        <w:t>est event</w:t>
      </w:r>
      <w:r w:rsidR="003B39DD">
        <w:t xml:space="preserve"> may not occur in cold conditions.</w:t>
      </w:r>
    </w:p>
    <w:p w14:paraId="6776C154" w14:textId="77777777" w:rsidR="00AE6840" w:rsidRDefault="007110DB" w:rsidP="00AE6840">
      <w:pPr>
        <w:pStyle w:val="BodyText"/>
        <w:numPr>
          <w:ilvl w:val="0"/>
          <w:numId w:val="24"/>
        </w:numPr>
      </w:pPr>
      <w:r>
        <w:t xml:space="preserve">Methodology </w:t>
      </w:r>
      <w:r w:rsidR="00B433B8">
        <w:t xml:space="preserve">for </w:t>
      </w:r>
      <w:r w:rsidR="00C8380C">
        <w:t xml:space="preserve">the </w:t>
      </w:r>
      <w:r w:rsidR="00B433B8">
        <w:t>savings c</w:t>
      </w:r>
      <w:r w:rsidR="00D3443A">
        <w:t xml:space="preserve">alculation </w:t>
      </w:r>
      <w:r w:rsidR="00B433B8">
        <w:t>need</w:t>
      </w:r>
      <w:r w:rsidR="008242B9">
        <w:t>s</w:t>
      </w:r>
      <w:r w:rsidR="00B433B8">
        <w:t xml:space="preserve"> to be iden</w:t>
      </w:r>
      <w:r w:rsidR="00D32875">
        <w:t xml:space="preserve">tified early in the </w:t>
      </w:r>
      <w:r w:rsidR="00872376">
        <w:t xml:space="preserve">Program </w:t>
      </w:r>
      <w:r w:rsidR="0005717E">
        <w:t>d</w:t>
      </w:r>
      <w:r w:rsidR="00872376">
        <w:t xml:space="preserve">esign </w:t>
      </w:r>
      <w:r w:rsidR="00AE6840">
        <w:t>process.</w:t>
      </w:r>
    </w:p>
    <w:p w14:paraId="51E3A2EF" w14:textId="77777777" w:rsidR="00E2400C" w:rsidRDefault="00E2400C" w:rsidP="00AE6840">
      <w:pPr>
        <w:pStyle w:val="BodyText"/>
        <w:ind w:left="1440" w:firstLine="0"/>
      </w:pPr>
    </w:p>
    <w:sectPr w:rsidR="00E2400C" w:rsidSect="00147EB9">
      <w:footerReference w:type="default" r:id="rId12"/>
      <w:pgSz w:w="12240" w:h="15840"/>
      <w:pgMar w:top="1440" w:right="1440" w:bottom="1440" w:left="1440" w:header="720" w:footer="57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C5C64B9" w14:textId="77777777" w:rsidR="002C464A" w:rsidRDefault="002C464A" w:rsidP="004462F8">
      <w:r>
        <w:separator/>
      </w:r>
    </w:p>
  </w:endnote>
  <w:endnote w:type="continuationSeparator" w:id="0">
    <w:p w14:paraId="77976B19" w14:textId="77777777" w:rsidR="002C464A" w:rsidRDefault="002C464A" w:rsidP="004462F8">
      <w:r>
        <w:continuationSeparator/>
      </w:r>
    </w:p>
  </w:endnote>
  <w:endnote w:type="continuationNotice" w:id="1">
    <w:p w14:paraId="72D917B6" w14:textId="77777777" w:rsidR="002C464A" w:rsidRDefault="002C464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i/>
        <w:sz w:val="20"/>
        <w:szCs w:val="20"/>
      </w:rPr>
      <w:id w:val="-2027243365"/>
      <w:docPartObj>
        <w:docPartGallery w:val="Page Numbers (Bottom of Page)"/>
        <w:docPartUnique/>
      </w:docPartObj>
    </w:sdtPr>
    <w:sdtEndPr>
      <w:rPr>
        <w:i w:val="0"/>
        <w:noProof/>
      </w:rPr>
    </w:sdtEndPr>
    <w:sdtContent>
      <w:p w14:paraId="6DEFB61F" w14:textId="77777777" w:rsidR="00B10B96" w:rsidRDefault="00B10B96" w:rsidP="00B10B96">
        <w:pPr>
          <w:pStyle w:val="Footer"/>
          <w:jc w:val="right"/>
          <w:rPr>
            <w:i/>
            <w:noProof/>
            <w:sz w:val="20"/>
            <w:szCs w:val="20"/>
          </w:rPr>
        </w:pPr>
        <w:r>
          <w:rPr>
            <w:i/>
            <w:noProof/>
            <w:sz w:val="20"/>
            <w:szCs w:val="20"/>
          </w:rPr>
          <mc:AlternateContent>
            <mc:Choice Requires="wps">
              <w:drawing>
                <wp:anchor distT="0" distB="0" distL="114300" distR="114300" simplePos="0" relativeHeight="251659264" behindDoc="0" locked="0" layoutInCell="1" allowOverlap="1" wp14:anchorId="58823601" wp14:editId="165E9870">
                  <wp:simplePos x="0" y="0"/>
                  <wp:positionH relativeFrom="column">
                    <wp:posOffset>10886</wp:posOffset>
                  </wp:positionH>
                  <wp:positionV relativeFrom="paragraph">
                    <wp:posOffset>8164</wp:posOffset>
                  </wp:positionV>
                  <wp:extent cx="5981700" cy="5443"/>
                  <wp:effectExtent l="0" t="0" r="19050" b="33020"/>
                  <wp:wrapNone/>
                  <wp:docPr id="1" name="Straight Connector 1"/>
                  <wp:cNvGraphicFramePr/>
                  <a:graphic xmlns:a="http://schemas.openxmlformats.org/drawingml/2006/main">
                    <a:graphicData uri="http://schemas.microsoft.com/office/word/2010/wordprocessingShape">
                      <wps:wsp>
                        <wps:cNvCnPr/>
                        <wps:spPr>
                          <a:xfrm>
                            <a:off x="0" y="0"/>
                            <a:ext cx="5981700" cy="5443"/>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2D7FD02"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85pt,.65pt" to="471.85pt,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" strokecolor="black [3200]" strokeweight=".5pt">
                  <v:stroke joinstyle="miter"/>
                </v:line>
              </w:pict>
            </mc:Fallback>
          </mc:AlternateContent>
        </w:r>
        <w:r w:rsidRPr="00F854F7">
          <w:rPr>
            <w:i/>
            <w:sz w:val="20"/>
            <w:szCs w:val="20"/>
          </w:rPr>
          <w:t xml:space="preserve">Docket No. </w:t>
        </w:r>
        <w:r>
          <w:rPr>
            <w:i/>
            <w:sz w:val="20"/>
            <w:szCs w:val="20"/>
          </w:rPr>
          <w:t>52689</w:t>
        </w:r>
        <w:r w:rsidRPr="00F854F7">
          <w:rPr>
            <w:i/>
            <w:sz w:val="20"/>
            <w:szCs w:val="20"/>
          </w:rPr>
          <w:tab/>
        </w:r>
        <w:r w:rsidRPr="00F854F7">
          <w:rPr>
            <w:i/>
            <w:noProof/>
            <w:sz w:val="20"/>
            <w:szCs w:val="20"/>
          </w:rPr>
          <w:tab/>
        </w:r>
        <w:r>
          <w:rPr>
            <w:i/>
            <w:noProof/>
            <w:sz w:val="20"/>
            <w:szCs w:val="20"/>
          </w:rPr>
          <w:t>AEP Texas Inc.’s</w:t>
        </w:r>
      </w:p>
      <w:p w14:paraId="202AA2A6" w14:textId="77777777" w:rsidR="00B10B96" w:rsidRDefault="00B10B96" w:rsidP="00B10B96">
        <w:pPr>
          <w:pStyle w:val="Footer"/>
          <w:jc w:val="right"/>
          <w:rPr>
            <w:i/>
            <w:noProof/>
            <w:sz w:val="20"/>
            <w:szCs w:val="20"/>
          </w:rPr>
        </w:pPr>
        <w:r>
          <w:rPr>
            <w:i/>
            <w:noProof/>
            <w:sz w:val="20"/>
            <w:szCs w:val="20"/>
          </w:rPr>
          <w:t>Report on Interim Load Management Program</w:t>
        </w:r>
      </w:p>
      <w:p w14:paraId="1EAE76A0" w14:textId="77777777" w:rsidR="00B10B96" w:rsidRPr="00F854F7" w:rsidRDefault="00B10B96" w:rsidP="00B10B96">
        <w:pPr>
          <w:pStyle w:val="Footer"/>
          <w:jc w:val="right"/>
          <w:rPr>
            <w:i/>
            <w:noProof/>
            <w:sz w:val="20"/>
            <w:szCs w:val="20"/>
          </w:rPr>
        </w:pPr>
        <w:r>
          <w:rPr>
            <w:i/>
            <w:noProof/>
            <w:sz w:val="20"/>
            <w:szCs w:val="20"/>
          </w:rPr>
          <w:t>Ending February 28, 2022</w:t>
        </w:r>
      </w:p>
      <w:p w14:paraId="26FD39C3" w14:textId="0886D302" w:rsidR="00164C17" w:rsidRPr="00B10B96" w:rsidRDefault="00B10B96" w:rsidP="00B10B96">
        <w:pPr>
          <w:pStyle w:val="Footer"/>
          <w:jc w:val="center"/>
          <w:rPr>
            <w:sz w:val="20"/>
            <w:szCs w:val="20"/>
          </w:rPr>
        </w:pPr>
        <w:r w:rsidRPr="00F854F7">
          <w:rPr>
            <w:sz w:val="20"/>
            <w:szCs w:val="20"/>
          </w:rPr>
          <w:fldChar w:fldCharType="begin"/>
        </w:r>
        <w:r w:rsidRPr="00F854F7">
          <w:rPr>
            <w:sz w:val="20"/>
            <w:szCs w:val="20"/>
          </w:rPr>
          <w:instrText xml:space="preserve"> PAGE   \* MERGEFORMAT </w:instrText>
        </w:r>
        <w:r w:rsidRPr="00F854F7">
          <w:rPr>
            <w:sz w:val="20"/>
            <w:szCs w:val="20"/>
          </w:rPr>
          <w:fldChar w:fldCharType="separate"/>
        </w:r>
        <w:r>
          <w:rPr>
            <w:sz w:val="20"/>
            <w:szCs w:val="20"/>
          </w:rPr>
          <w:t>i</w:t>
        </w:r>
        <w:r w:rsidRPr="00F854F7">
          <w:rPr>
            <w:noProof/>
            <w:sz w:val="20"/>
            <w:szCs w:val="20"/>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i/>
        <w:sz w:val="20"/>
        <w:szCs w:val="20"/>
      </w:rPr>
      <w:id w:val="1032151551"/>
      <w:docPartObj>
        <w:docPartGallery w:val="Page Numbers (Bottom of Page)"/>
        <w:docPartUnique/>
      </w:docPartObj>
    </w:sdtPr>
    <w:sdtEndPr>
      <w:rPr>
        <w:i w:val="0"/>
        <w:noProof/>
      </w:rPr>
    </w:sdtEndPr>
    <w:sdtContent>
      <w:p w14:paraId="00E90C69" w14:textId="77777777" w:rsidR="00B10B96" w:rsidRDefault="00B10B96" w:rsidP="00B10B96">
        <w:pPr>
          <w:pStyle w:val="Footer"/>
          <w:jc w:val="right"/>
          <w:rPr>
            <w:i/>
            <w:noProof/>
            <w:sz w:val="20"/>
            <w:szCs w:val="20"/>
          </w:rPr>
        </w:pPr>
        <w:r>
          <w:rPr>
            <w:i/>
            <w:noProof/>
            <w:sz w:val="20"/>
            <w:szCs w:val="20"/>
          </w:rPr>
          <mc:AlternateContent>
            <mc:Choice Requires="wps">
              <w:drawing>
                <wp:anchor distT="0" distB="0" distL="114300" distR="114300" simplePos="0" relativeHeight="251661312" behindDoc="0" locked="0" layoutInCell="1" allowOverlap="1" wp14:anchorId="39E3D594" wp14:editId="74856574">
                  <wp:simplePos x="0" y="0"/>
                  <wp:positionH relativeFrom="column">
                    <wp:posOffset>10886</wp:posOffset>
                  </wp:positionH>
                  <wp:positionV relativeFrom="paragraph">
                    <wp:posOffset>8164</wp:posOffset>
                  </wp:positionV>
                  <wp:extent cx="5981700" cy="5443"/>
                  <wp:effectExtent l="0" t="0" r="19050" b="33020"/>
                  <wp:wrapNone/>
                  <wp:docPr id="2" name="Straight Connector 2"/>
                  <wp:cNvGraphicFramePr/>
                  <a:graphic xmlns:a="http://schemas.openxmlformats.org/drawingml/2006/main">
                    <a:graphicData uri="http://schemas.microsoft.com/office/word/2010/wordprocessingShape">
                      <wps:wsp>
                        <wps:cNvCnPr/>
                        <wps:spPr>
                          <a:xfrm>
                            <a:off x="0" y="0"/>
                            <a:ext cx="5981700" cy="5443"/>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7A55CAB" id="Straight Connector 2"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85pt,.65pt" to="471.85pt,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" strokecolor="black [3200]" strokeweight=".5pt">
                  <v:stroke joinstyle="miter"/>
                </v:line>
              </w:pict>
            </mc:Fallback>
          </mc:AlternateContent>
        </w:r>
        <w:r w:rsidRPr="00F854F7">
          <w:rPr>
            <w:i/>
            <w:sz w:val="20"/>
            <w:szCs w:val="20"/>
          </w:rPr>
          <w:t xml:space="preserve">Docket No. </w:t>
        </w:r>
        <w:r>
          <w:rPr>
            <w:i/>
            <w:sz w:val="20"/>
            <w:szCs w:val="20"/>
          </w:rPr>
          <w:t>52689</w:t>
        </w:r>
        <w:r w:rsidRPr="00F854F7">
          <w:rPr>
            <w:i/>
            <w:sz w:val="20"/>
            <w:szCs w:val="20"/>
          </w:rPr>
          <w:tab/>
        </w:r>
        <w:r w:rsidRPr="00F854F7">
          <w:rPr>
            <w:i/>
            <w:noProof/>
            <w:sz w:val="20"/>
            <w:szCs w:val="20"/>
          </w:rPr>
          <w:tab/>
        </w:r>
        <w:r>
          <w:rPr>
            <w:i/>
            <w:noProof/>
            <w:sz w:val="20"/>
            <w:szCs w:val="20"/>
          </w:rPr>
          <w:t>AEP Texas Inc.’s</w:t>
        </w:r>
      </w:p>
      <w:p w14:paraId="078DB84B" w14:textId="77777777" w:rsidR="00B10B96" w:rsidRDefault="00B10B96" w:rsidP="00B10B96">
        <w:pPr>
          <w:pStyle w:val="Footer"/>
          <w:jc w:val="right"/>
          <w:rPr>
            <w:i/>
            <w:noProof/>
            <w:sz w:val="20"/>
            <w:szCs w:val="20"/>
          </w:rPr>
        </w:pPr>
        <w:r>
          <w:rPr>
            <w:i/>
            <w:noProof/>
            <w:sz w:val="20"/>
            <w:szCs w:val="20"/>
          </w:rPr>
          <w:t>Report on Interim Load Management Program</w:t>
        </w:r>
      </w:p>
      <w:p w14:paraId="62E3C5CD" w14:textId="77777777" w:rsidR="00B10B96" w:rsidRPr="00F854F7" w:rsidRDefault="00B10B96" w:rsidP="00B10B96">
        <w:pPr>
          <w:pStyle w:val="Footer"/>
          <w:jc w:val="right"/>
          <w:rPr>
            <w:i/>
            <w:noProof/>
            <w:sz w:val="20"/>
            <w:szCs w:val="20"/>
          </w:rPr>
        </w:pPr>
        <w:r>
          <w:rPr>
            <w:i/>
            <w:noProof/>
            <w:sz w:val="20"/>
            <w:szCs w:val="20"/>
          </w:rPr>
          <w:t>Ending February 28, 2022</w:t>
        </w:r>
      </w:p>
      <w:p w14:paraId="5728236C" w14:textId="77777777" w:rsidR="00B10B96" w:rsidRPr="00F854F7" w:rsidRDefault="00B10B96" w:rsidP="00B10B96">
        <w:pPr>
          <w:pStyle w:val="Footer"/>
          <w:jc w:val="center"/>
          <w:rPr>
            <w:noProof/>
            <w:sz w:val="20"/>
            <w:szCs w:val="20"/>
          </w:rPr>
        </w:pPr>
        <w:r w:rsidRPr="00F854F7">
          <w:rPr>
            <w:sz w:val="20"/>
            <w:szCs w:val="20"/>
          </w:rPr>
          <w:fldChar w:fldCharType="begin"/>
        </w:r>
        <w:r w:rsidRPr="00F854F7">
          <w:rPr>
            <w:sz w:val="20"/>
            <w:szCs w:val="20"/>
          </w:rPr>
          <w:instrText xml:space="preserve"> PAGE   \* MERGEFORMAT </w:instrText>
        </w:r>
        <w:r w:rsidRPr="00F854F7">
          <w:rPr>
            <w:sz w:val="20"/>
            <w:szCs w:val="20"/>
          </w:rPr>
          <w:fldChar w:fldCharType="separate"/>
        </w:r>
        <w:r>
          <w:rPr>
            <w:sz w:val="20"/>
            <w:szCs w:val="20"/>
          </w:rPr>
          <w:t>1</w:t>
        </w:r>
        <w:r w:rsidRPr="00F854F7">
          <w:rPr>
            <w:noProof/>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4EE887D" w14:textId="77777777" w:rsidR="002C464A" w:rsidRDefault="002C464A" w:rsidP="004462F8">
      <w:r>
        <w:separator/>
      </w:r>
    </w:p>
  </w:footnote>
  <w:footnote w:type="continuationSeparator" w:id="0">
    <w:p w14:paraId="31E950C7" w14:textId="77777777" w:rsidR="002C464A" w:rsidRDefault="002C464A" w:rsidP="004462F8">
      <w:r>
        <w:continuationSeparator/>
      </w:r>
    </w:p>
  </w:footnote>
  <w:footnote w:type="continuationNotice" w:id="1">
    <w:p w14:paraId="6AB9EB4E" w14:textId="77777777" w:rsidR="002C464A" w:rsidRDefault="002C464A"/>
  </w:footnote>
  <w:footnote w:id="2">
    <w:p w14:paraId="0962A19A" w14:textId="77777777" w:rsidR="008B7089" w:rsidRDefault="008B7089" w:rsidP="008B7089">
      <w:pPr>
        <w:pStyle w:val="FootnoteText"/>
      </w:pPr>
      <w:r>
        <w:rPr>
          <w:rStyle w:val="FootnoteReference"/>
        </w:rPr>
        <w:footnoteRef/>
      </w:r>
      <w:r>
        <w:t xml:space="preserve">  SB 3, 87</w:t>
      </w:r>
      <w:r w:rsidRPr="00762926">
        <w:t>th</w:t>
      </w:r>
      <w:r>
        <w:t xml:space="preserve"> Leg., R.S. (2021), Section 16, creating Public Utility Regulatory Act (“PURA”), Tex. Util. Code § 38.075. PURA is codified at Tex. Util. Code §§ 11.001 – 66.016.</w:t>
      </w:r>
    </w:p>
  </w:footnote>
  <w:footnote w:id="3">
    <w:p w14:paraId="27DE34FD" w14:textId="77777777" w:rsidR="00020350" w:rsidRDefault="00020350">
      <w:pPr>
        <w:pStyle w:val="FootnoteText"/>
      </w:pPr>
      <w:r>
        <w:rPr>
          <w:rStyle w:val="FootnoteReference"/>
        </w:rPr>
        <w:footnoteRef/>
      </w:r>
      <w:r>
        <w:t xml:space="preserve">  Tex. Util. Code § 38.075(e).</w:t>
      </w:r>
    </w:p>
  </w:footnote>
  <w:footnote w:id="4">
    <w:p w14:paraId="12A38F8D" w14:textId="77777777" w:rsidR="00020350" w:rsidRDefault="00020350">
      <w:pPr>
        <w:pStyle w:val="FootnoteText"/>
      </w:pPr>
      <w:r>
        <w:rPr>
          <w:rStyle w:val="FootnoteReference"/>
        </w:rPr>
        <w:footnoteRef/>
      </w:r>
      <w:r>
        <w:t xml:space="preserve">  Tex. Util. Code § 38.075(e).</w:t>
      </w:r>
    </w:p>
  </w:footnote>
  <w:footnote w:id="5">
    <w:p w14:paraId="27C6CC32" w14:textId="77777777" w:rsidR="00DE30F3" w:rsidRPr="00020350" w:rsidRDefault="00DE30F3">
      <w:pPr>
        <w:pStyle w:val="FootnoteText"/>
      </w:pPr>
      <w:r>
        <w:rPr>
          <w:rStyle w:val="FootnoteReference"/>
        </w:rPr>
        <w:footnoteRef/>
      </w:r>
      <w:r>
        <w:t xml:space="preserve">  </w:t>
      </w:r>
      <w:r w:rsidR="00020350">
        <w:rPr>
          <w:i/>
          <w:iCs/>
        </w:rPr>
        <w:t>Expedited Petition of CenterPoint Energy Houston Electric, LLC for Approval of Interim Load Management Programs for Nonresidential Customers and for an Accounting Order</w:t>
      </w:r>
      <w:r w:rsidR="00020350">
        <w:t>, Docket No. 52689, Order at Ordering Paragraph No. 1 (Jan. 12, 2022).</w:t>
      </w:r>
    </w:p>
  </w:footnote>
  <w:footnote w:id="6">
    <w:p w14:paraId="109467F1" w14:textId="77777777" w:rsidR="00DE30F3" w:rsidRDefault="00DE30F3">
      <w:pPr>
        <w:pStyle w:val="FootnoteText"/>
      </w:pPr>
      <w:r>
        <w:rPr>
          <w:rStyle w:val="FootnoteReference"/>
        </w:rPr>
        <w:footnoteRef/>
      </w:r>
      <w:r>
        <w:t xml:space="preserve">  </w:t>
      </w:r>
      <w:r w:rsidR="00020350">
        <w:t>Docket No. 52689, Order at Ordering Paragraph No. 14.</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36DF06" w14:textId="77777777" w:rsidR="00DE30F3" w:rsidRPr="005C11BC" w:rsidRDefault="00DE30F3" w:rsidP="005C11BC">
    <w:pPr>
      <w:pStyle w:val="Header"/>
      <w:jc w:val="right"/>
      <w:rPr>
        <w:color w:val="FF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06203F9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A792331C"/>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AEDA5378"/>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419A14C8"/>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F4A00DE"/>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CFACB540"/>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04324106"/>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2142146"/>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C3BEEC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768FC4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8F3D5E"/>
    <w:multiLevelType w:val="singleLevel"/>
    <w:tmpl w:val="9470F582"/>
    <w:lvl w:ilvl="0">
      <w:start w:val="1"/>
      <w:numFmt w:val="decimal"/>
      <w:pStyle w:val="FOFNumbered"/>
      <w:lvlText w:val="%1."/>
      <w:lvlJc w:val="left"/>
      <w:pPr>
        <w:tabs>
          <w:tab w:val="num" w:pos="720"/>
        </w:tabs>
        <w:ind w:left="720" w:hanging="720"/>
      </w:pPr>
    </w:lvl>
  </w:abstractNum>
  <w:abstractNum w:abstractNumId="11" w15:restartNumberingAfterBreak="0">
    <w:nsid w:val="0CE2641D"/>
    <w:multiLevelType w:val="hybridMultilevel"/>
    <w:tmpl w:val="D57C767C"/>
    <w:lvl w:ilvl="0" w:tplc="AABC8BA0">
      <w:start w:val="1"/>
      <w:numFmt w:val="upperRoman"/>
      <w:pStyle w:val="Heading1"/>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4302692"/>
    <w:multiLevelType w:val="hybridMultilevel"/>
    <w:tmpl w:val="BF048C6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44E710C3"/>
    <w:multiLevelType w:val="hybridMultilevel"/>
    <w:tmpl w:val="8AA67FC0"/>
    <w:lvl w:ilvl="0" w:tplc="AD484540">
      <w:start w:val="1"/>
      <w:numFmt w:val="decimal"/>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4B36178E"/>
    <w:multiLevelType w:val="hybridMultilevel"/>
    <w:tmpl w:val="C4208026"/>
    <w:lvl w:ilvl="0" w:tplc="13F638B4">
      <w:start w:val="1"/>
      <w:numFmt w:val="upperLetter"/>
      <w:pStyle w:val="Heading2"/>
      <w:lvlText w:val="%1."/>
      <w:lvlJc w:val="left"/>
      <w:pPr>
        <w:ind w:left="72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2531280"/>
    <w:multiLevelType w:val="hybridMultilevel"/>
    <w:tmpl w:val="2A64853A"/>
    <w:lvl w:ilvl="0" w:tplc="AD484540">
      <w:start w:val="1"/>
      <w:numFmt w:val="decimal"/>
      <w:lvlText w:val="%1."/>
      <w:lvlJc w:val="left"/>
      <w:pPr>
        <w:ind w:left="1440" w:hanging="720"/>
      </w:pPr>
      <w:rPr>
        <w:rFonts w:hint="default"/>
      </w:rPr>
    </w:lvl>
    <w:lvl w:ilvl="1" w:tplc="0409000F">
      <w:start w:val="1"/>
      <w:numFmt w:val="decimal"/>
      <w:lvlText w:val="%2."/>
      <w:lvlJc w:val="left"/>
      <w:pPr>
        <w:ind w:left="1800" w:hanging="720"/>
      </w:pPr>
      <w:rPr>
        <w:rFonts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57535C84"/>
    <w:multiLevelType w:val="hybridMultilevel"/>
    <w:tmpl w:val="E90AA2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43C2F10"/>
    <w:multiLevelType w:val="hybridMultilevel"/>
    <w:tmpl w:val="451E245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6A4A6D72"/>
    <w:multiLevelType w:val="hybridMultilevel"/>
    <w:tmpl w:val="2A64853A"/>
    <w:lvl w:ilvl="0" w:tplc="AD484540">
      <w:start w:val="1"/>
      <w:numFmt w:val="decimal"/>
      <w:lvlText w:val="%1."/>
      <w:lvlJc w:val="left"/>
      <w:pPr>
        <w:ind w:left="1440" w:hanging="720"/>
      </w:pPr>
      <w:rPr>
        <w:rFonts w:hint="default"/>
      </w:rPr>
    </w:lvl>
    <w:lvl w:ilvl="1" w:tplc="0409000F">
      <w:start w:val="1"/>
      <w:numFmt w:val="decimal"/>
      <w:lvlText w:val="%2."/>
      <w:lvlJc w:val="left"/>
      <w:pPr>
        <w:ind w:left="1800" w:hanging="720"/>
      </w:pPr>
      <w:rPr>
        <w:rFonts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70F706AD"/>
    <w:multiLevelType w:val="hybridMultilevel"/>
    <w:tmpl w:val="6A7C9FD4"/>
    <w:lvl w:ilvl="0" w:tplc="F704FD94">
      <w:start w:val="1"/>
      <w:numFmt w:val="decimal"/>
      <w:pStyle w:val="BodyText2"/>
      <w:lvlText w:val="%1."/>
      <w:lvlJc w:val="left"/>
      <w:pPr>
        <w:tabs>
          <w:tab w:val="num" w:pos="1080"/>
        </w:tabs>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1"/>
  </w:num>
  <w:num w:numId="12">
    <w:abstractNumId w:val="17"/>
  </w:num>
  <w:num w:numId="13">
    <w:abstractNumId w:val="11"/>
    <w:lvlOverride w:ilvl="0">
      <w:startOverride w:val="1"/>
    </w:lvlOverride>
  </w:num>
  <w:num w:numId="14">
    <w:abstractNumId w:val="19"/>
  </w:num>
  <w:num w:numId="15">
    <w:abstractNumId w:val="10"/>
  </w:num>
  <w:num w:numId="16">
    <w:abstractNumId w:val="19"/>
  </w:num>
  <w:num w:numId="17">
    <w:abstractNumId w:val="19"/>
    <w:lvlOverride w:ilvl="0">
      <w:startOverride w:val="1"/>
    </w:lvlOverride>
  </w:num>
  <w:num w:numId="18">
    <w:abstractNumId w:val="19"/>
    <w:lvlOverride w:ilvl="0">
      <w:startOverride w:val="1"/>
    </w:lvlOverride>
  </w:num>
  <w:num w:numId="19">
    <w:abstractNumId w:val="14"/>
  </w:num>
  <w:num w:numId="20">
    <w:abstractNumId w:val="12"/>
  </w:num>
  <w:num w:numId="21">
    <w:abstractNumId w:val="16"/>
  </w:num>
  <w:num w:numId="22">
    <w:abstractNumId w:val="18"/>
  </w:num>
  <w:num w:numId="23">
    <w:abstractNumId w:val="13"/>
  </w:num>
  <w:num w:numId="24">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37"/>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hdrShapeDefaults>
    <o:shapedefaults v:ext="edit" spidmax="819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62F8"/>
    <w:rsid w:val="00002D11"/>
    <w:rsid w:val="00011E4B"/>
    <w:rsid w:val="000130BD"/>
    <w:rsid w:val="00015835"/>
    <w:rsid w:val="00020350"/>
    <w:rsid w:val="00021A57"/>
    <w:rsid w:val="00025495"/>
    <w:rsid w:val="00026CCA"/>
    <w:rsid w:val="00026FCA"/>
    <w:rsid w:val="000463CC"/>
    <w:rsid w:val="0005717E"/>
    <w:rsid w:val="00060076"/>
    <w:rsid w:val="00065E6D"/>
    <w:rsid w:val="00065F86"/>
    <w:rsid w:val="000672EF"/>
    <w:rsid w:val="00082EAF"/>
    <w:rsid w:val="00082F7B"/>
    <w:rsid w:val="000855A5"/>
    <w:rsid w:val="00095AE4"/>
    <w:rsid w:val="000A2DB5"/>
    <w:rsid w:val="000A53E3"/>
    <w:rsid w:val="000B4242"/>
    <w:rsid w:val="000B424F"/>
    <w:rsid w:val="000C01D8"/>
    <w:rsid w:val="000D4835"/>
    <w:rsid w:val="000E300D"/>
    <w:rsid w:val="000E50D9"/>
    <w:rsid w:val="000F602E"/>
    <w:rsid w:val="00106049"/>
    <w:rsid w:val="00106B3C"/>
    <w:rsid w:val="0011099A"/>
    <w:rsid w:val="00112897"/>
    <w:rsid w:val="00112F2F"/>
    <w:rsid w:val="00114424"/>
    <w:rsid w:val="0012102B"/>
    <w:rsid w:val="0012261E"/>
    <w:rsid w:val="0012546A"/>
    <w:rsid w:val="00127AB7"/>
    <w:rsid w:val="00130CDF"/>
    <w:rsid w:val="001321A0"/>
    <w:rsid w:val="00132416"/>
    <w:rsid w:val="00133B9C"/>
    <w:rsid w:val="00137063"/>
    <w:rsid w:val="001406BA"/>
    <w:rsid w:val="0014341E"/>
    <w:rsid w:val="001465DB"/>
    <w:rsid w:val="0014670C"/>
    <w:rsid w:val="00147EB9"/>
    <w:rsid w:val="00150D9D"/>
    <w:rsid w:val="00151417"/>
    <w:rsid w:val="001538DD"/>
    <w:rsid w:val="00155ABF"/>
    <w:rsid w:val="00166620"/>
    <w:rsid w:val="00166E5D"/>
    <w:rsid w:val="0017467F"/>
    <w:rsid w:val="00175B50"/>
    <w:rsid w:val="00182CD8"/>
    <w:rsid w:val="0018416E"/>
    <w:rsid w:val="001902EC"/>
    <w:rsid w:val="00191E22"/>
    <w:rsid w:val="0019586E"/>
    <w:rsid w:val="00195C6B"/>
    <w:rsid w:val="00196767"/>
    <w:rsid w:val="001A2948"/>
    <w:rsid w:val="001A340F"/>
    <w:rsid w:val="001A3710"/>
    <w:rsid w:val="001A6689"/>
    <w:rsid w:val="001B0C8F"/>
    <w:rsid w:val="001B4999"/>
    <w:rsid w:val="001B5262"/>
    <w:rsid w:val="001B5FF7"/>
    <w:rsid w:val="001C1E95"/>
    <w:rsid w:val="001C4650"/>
    <w:rsid w:val="001E3079"/>
    <w:rsid w:val="001F35AF"/>
    <w:rsid w:val="001F7802"/>
    <w:rsid w:val="00203A30"/>
    <w:rsid w:val="0021176A"/>
    <w:rsid w:val="00221592"/>
    <w:rsid w:val="00221E5C"/>
    <w:rsid w:val="0022712D"/>
    <w:rsid w:val="00230D0F"/>
    <w:rsid w:val="00233FF5"/>
    <w:rsid w:val="0024054A"/>
    <w:rsid w:val="00243BA1"/>
    <w:rsid w:val="0025352E"/>
    <w:rsid w:val="002544A8"/>
    <w:rsid w:val="002544D9"/>
    <w:rsid w:val="00256500"/>
    <w:rsid w:val="00260DFD"/>
    <w:rsid w:val="00265046"/>
    <w:rsid w:val="002676A5"/>
    <w:rsid w:val="00267A5E"/>
    <w:rsid w:val="002744FE"/>
    <w:rsid w:val="00275C3A"/>
    <w:rsid w:val="0027788A"/>
    <w:rsid w:val="0028030A"/>
    <w:rsid w:val="002839AA"/>
    <w:rsid w:val="002843AF"/>
    <w:rsid w:val="00286DA8"/>
    <w:rsid w:val="002871D3"/>
    <w:rsid w:val="002875F9"/>
    <w:rsid w:val="002A37A0"/>
    <w:rsid w:val="002A3E46"/>
    <w:rsid w:val="002B6F65"/>
    <w:rsid w:val="002C464A"/>
    <w:rsid w:val="002D7FB7"/>
    <w:rsid w:val="002E5871"/>
    <w:rsid w:val="002F0141"/>
    <w:rsid w:val="002F21D1"/>
    <w:rsid w:val="003016EC"/>
    <w:rsid w:val="0030221D"/>
    <w:rsid w:val="003035F2"/>
    <w:rsid w:val="003048E2"/>
    <w:rsid w:val="0030553B"/>
    <w:rsid w:val="00305C95"/>
    <w:rsid w:val="003239E6"/>
    <w:rsid w:val="0032661C"/>
    <w:rsid w:val="00327859"/>
    <w:rsid w:val="00330452"/>
    <w:rsid w:val="00333BC7"/>
    <w:rsid w:val="00335D34"/>
    <w:rsid w:val="00341014"/>
    <w:rsid w:val="003540AE"/>
    <w:rsid w:val="00354E74"/>
    <w:rsid w:val="00365C9C"/>
    <w:rsid w:val="003668AF"/>
    <w:rsid w:val="00370D74"/>
    <w:rsid w:val="00374A76"/>
    <w:rsid w:val="00390949"/>
    <w:rsid w:val="00392BAB"/>
    <w:rsid w:val="0039318B"/>
    <w:rsid w:val="00394D2F"/>
    <w:rsid w:val="0039522E"/>
    <w:rsid w:val="00395630"/>
    <w:rsid w:val="003A6CFD"/>
    <w:rsid w:val="003B37F6"/>
    <w:rsid w:val="003B39DD"/>
    <w:rsid w:val="003B4441"/>
    <w:rsid w:val="003B6181"/>
    <w:rsid w:val="003C1506"/>
    <w:rsid w:val="003C61C0"/>
    <w:rsid w:val="003D50C6"/>
    <w:rsid w:val="003D6D26"/>
    <w:rsid w:val="003E58F7"/>
    <w:rsid w:val="003F5F73"/>
    <w:rsid w:val="00407CC7"/>
    <w:rsid w:val="00427A7B"/>
    <w:rsid w:val="00431E57"/>
    <w:rsid w:val="004462F8"/>
    <w:rsid w:val="00460380"/>
    <w:rsid w:val="00460686"/>
    <w:rsid w:val="00463D9A"/>
    <w:rsid w:val="00467A5D"/>
    <w:rsid w:val="00475975"/>
    <w:rsid w:val="00475AE7"/>
    <w:rsid w:val="00475FBE"/>
    <w:rsid w:val="0048010F"/>
    <w:rsid w:val="00492336"/>
    <w:rsid w:val="004A074C"/>
    <w:rsid w:val="004A71CA"/>
    <w:rsid w:val="004B652E"/>
    <w:rsid w:val="004C0560"/>
    <w:rsid w:val="004E0EF0"/>
    <w:rsid w:val="004E4B3C"/>
    <w:rsid w:val="004F0CA9"/>
    <w:rsid w:val="004F1DE1"/>
    <w:rsid w:val="004F60EF"/>
    <w:rsid w:val="00501357"/>
    <w:rsid w:val="00512F81"/>
    <w:rsid w:val="00514F1E"/>
    <w:rsid w:val="00515C32"/>
    <w:rsid w:val="00516AFF"/>
    <w:rsid w:val="00517844"/>
    <w:rsid w:val="00517A4B"/>
    <w:rsid w:val="0052682B"/>
    <w:rsid w:val="005309A8"/>
    <w:rsid w:val="00532113"/>
    <w:rsid w:val="00533AE2"/>
    <w:rsid w:val="00546DE7"/>
    <w:rsid w:val="00552F25"/>
    <w:rsid w:val="00553BB0"/>
    <w:rsid w:val="00556AD4"/>
    <w:rsid w:val="00571EE2"/>
    <w:rsid w:val="0057346C"/>
    <w:rsid w:val="005802D1"/>
    <w:rsid w:val="005930C9"/>
    <w:rsid w:val="00593BC7"/>
    <w:rsid w:val="005A302B"/>
    <w:rsid w:val="005A70E1"/>
    <w:rsid w:val="005B03F0"/>
    <w:rsid w:val="005B1397"/>
    <w:rsid w:val="005C11BC"/>
    <w:rsid w:val="005D5479"/>
    <w:rsid w:val="005E093A"/>
    <w:rsid w:val="005E2CCD"/>
    <w:rsid w:val="005F5087"/>
    <w:rsid w:val="005F552D"/>
    <w:rsid w:val="00602FB0"/>
    <w:rsid w:val="00605CD0"/>
    <w:rsid w:val="0061173E"/>
    <w:rsid w:val="0061534F"/>
    <w:rsid w:val="00617839"/>
    <w:rsid w:val="00626383"/>
    <w:rsid w:val="00637053"/>
    <w:rsid w:val="00656D4C"/>
    <w:rsid w:val="00657AEC"/>
    <w:rsid w:val="00662581"/>
    <w:rsid w:val="00662A63"/>
    <w:rsid w:val="00666141"/>
    <w:rsid w:val="00672B84"/>
    <w:rsid w:val="00675B7D"/>
    <w:rsid w:val="0067602E"/>
    <w:rsid w:val="00677669"/>
    <w:rsid w:val="006840F3"/>
    <w:rsid w:val="00686E41"/>
    <w:rsid w:val="00691886"/>
    <w:rsid w:val="006951C7"/>
    <w:rsid w:val="006A6AD1"/>
    <w:rsid w:val="006B2012"/>
    <w:rsid w:val="006B420F"/>
    <w:rsid w:val="006B6250"/>
    <w:rsid w:val="006B6B4F"/>
    <w:rsid w:val="006C2E7C"/>
    <w:rsid w:val="006C412E"/>
    <w:rsid w:val="006C6017"/>
    <w:rsid w:val="006D3F17"/>
    <w:rsid w:val="006D537E"/>
    <w:rsid w:val="006D7D81"/>
    <w:rsid w:val="006E1AAE"/>
    <w:rsid w:val="006E2FF0"/>
    <w:rsid w:val="006E3073"/>
    <w:rsid w:val="00705D46"/>
    <w:rsid w:val="007110DB"/>
    <w:rsid w:val="00712F09"/>
    <w:rsid w:val="00714276"/>
    <w:rsid w:val="007226F7"/>
    <w:rsid w:val="0072442B"/>
    <w:rsid w:val="00726A26"/>
    <w:rsid w:val="0072784C"/>
    <w:rsid w:val="0073194D"/>
    <w:rsid w:val="00732A7D"/>
    <w:rsid w:val="007333C3"/>
    <w:rsid w:val="007370ED"/>
    <w:rsid w:val="0073710A"/>
    <w:rsid w:val="007411CA"/>
    <w:rsid w:val="00741C09"/>
    <w:rsid w:val="00756031"/>
    <w:rsid w:val="00760BF6"/>
    <w:rsid w:val="00762926"/>
    <w:rsid w:val="00764052"/>
    <w:rsid w:val="0076654A"/>
    <w:rsid w:val="007708C8"/>
    <w:rsid w:val="00774516"/>
    <w:rsid w:val="007767EF"/>
    <w:rsid w:val="00787F44"/>
    <w:rsid w:val="00790E04"/>
    <w:rsid w:val="00792835"/>
    <w:rsid w:val="00794429"/>
    <w:rsid w:val="00796ACD"/>
    <w:rsid w:val="007A1383"/>
    <w:rsid w:val="007A2E65"/>
    <w:rsid w:val="007A5B7A"/>
    <w:rsid w:val="007A79F6"/>
    <w:rsid w:val="007B5A1D"/>
    <w:rsid w:val="007B647F"/>
    <w:rsid w:val="007C32B5"/>
    <w:rsid w:val="007C43A2"/>
    <w:rsid w:val="007C4E2F"/>
    <w:rsid w:val="007C657B"/>
    <w:rsid w:val="007C6C5A"/>
    <w:rsid w:val="007D0067"/>
    <w:rsid w:val="007E07D4"/>
    <w:rsid w:val="007E1642"/>
    <w:rsid w:val="007E22D9"/>
    <w:rsid w:val="007E2408"/>
    <w:rsid w:val="007E270A"/>
    <w:rsid w:val="007E7342"/>
    <w:rsid w:val="007F0A4D"/>
    <w:rsid w:val="007F5352"/>
    <w:rsid w:val="007F53E7"/>
    <w:rsid w:val="007F66CB"/>
    <w:rsid w:val="0080056A"/>
    <w:rsid w:val="00800E8B"/>
    <w:rsid w:val="0080505A"/>
    <w:rsid w:val="00812166"/>
    <w:rsid w:val="00822765"/>
    <w:rsid w:val="008242B9"/>
    <w:rsid w:val="00827939"/>
    <w:rsid w:val="00830A89"/>
    <w:rsid w:val="00834872"/>
    <w:rsid w:val="008348CF"/>
    <w:rsid w:val="00843193"/>
    <w:rsid w:val="0085363A"/>
    <w:rsid w:val="0086623A"/>
    <w:rsid w:val="00872376"/>
    <w:rsid w:val="00874E5F"/>
    <w:rsid w:val="008761CB"/>
    <w:rsid w:val="00876689"/>
    <w:rsid w:val="00890571"/>
    <w:rsid w:val="00895434"/>
    <w:rsid w:val="008A3426"/>
    <w:rsid w:val="008B0CC1"/>
    <w:rsid w:val="008B7089"/>
    <w:rsid w:val="008C041B"/>
    <w:rsid w:val="008D086F"/>
    <w:rsid w:val="008E312B"/>
    <w:rsid w:val="008E7A80"/>
    <w:rsid w:val="008F0AED"/>
    <w:rsid w:val="008F0C27"/>
    <w:rsid w:val="008F3AB3"/>
    <w:rsid w:val="00902DD5"/>
    <w:rsid w:val="00906C70"/>
    <w:rsid w:val="009108B0"/>
    <w:rsid w:val="00915546"/>
    <w:rsid w:val="00927DFE"/>
    <w:rsid w:val="0094591C"/>
    <w:rsid w:val="0095005A"/>
    <w:rsid w:val="009525D1"/>
    <w:rsid w:val="0096109E"/>
    <w:rsid w:val="00961B11"/>
    <w:rsid w:val="0097499B"/>
    <w:rsid w:val="00983D96"/>
    <w:rsid w:val="00985D49"/>
    <w:rsid w:val="00987888"/>
    <w:rsid w:val="00990294"/>
    <w:rsid w:val="00990F6C"/>
    <w:rsid w:val="009A1463"/>
    <w:rsid w:val="009A278F"/>
    <w:rsid w:val="009A30E0"/>
    <w:rsid w:val="009A6D0F"/>
    <w:rsid w:val="009B1F60"/>
    <w:rsid w:val="009B2721"/>
    <w:rsid w:val="009B7B0A"/>
    <w:rsid w:val="009C350C"/>
    <w:rsid w:val="009C409D"/>
    <w:rsid w:val="009C59C7"/>
    <w:rsid w:val="009D0D1B"/>
    <w:rsid w:val="009D2FAE"/>
    <w:rsid w:val="009D3929"/>
    <w:rsid w:val="009F52E4"/>
    <w:rsid w:val="00A02B09"/>
    <w:rsid w:val="00A1309C"/>
    <w:rsid w:val="00A14243"/>
    <w:rsid w:val="00A16FD2"/>
    <w:rsid w:val="00A23DEB"/>
    <w:rsid w:val="00A32893"/>
    <w:rsid w:val="00A4002D"/>
    <w:rsid w:val="00A45099"/>
    <w:rsid w:val="00A4772D"/>
    <w:rsid w:val="00A53650"/>
    <w:rsid w:val="00A56777"/>
    <w:rsid w:val="00A731C6"/>
    <w:rsid w:val="00A7396E"/>
    <w:rsid w:val="00A805FC"/>
    <w:rsid w:val="00A83262"/>
    <w:rsid w:val="00AA0D06"/>
    <w:rsid w:val="00AA4D3F"/>
    <w:rsid w:val="00AB2630"/>
    <w:rsid w:val="00AB2FB5"/>
    <w:rsid w:val="00AB313A"/>
    <w:rsid w:val="00AB63E2"/>
    <w:rsid w:val="00AC0AB4"/>
    <w:rsid w:val="00AC2990"/>
    <w:rsid w:val="00AD5DB0"/>
    <w:rsid w:val="00AD64DB"/>
    <w:rsid w:val="00AD7B57"/>
    <w:rsid w:val="00AE0573"/>
    <w:rsid w:val="00AE199C"/>
    <w:rsid w:val="00AE4C81"/>
    <w:rsid w:val="00AE6840"/>
    <w:rsid w:val="00AE68CD"/>
    <w:rsid w:val="00B00E0B"/>
    <w:rsid w:val="00B05A15"/>
    <w:rsid w:val="00B1060F"/>
    <w:rsid w:val="00B10B96"/>
    <w:rsid w:val="00B167C4"/>
    <w:rsid w:val="00B21C54"/>
    <w:rsid w:val="00B31614"/>
    <w:rsid w:val="00B31D01"/>
    <w:rsid w:val="00B33FE3"/>
    <w:rsid w:val="00B35B79"/>
    <w:rsid w:val="00B433B8"/>
    <w:rsid w:val="00B43D5B"/>
    <w:rsid w:val="00B4446B"/>
    <w:rsid w:val="00B46195"/>
    <w:rsid w:val="00B71A58"/>
    <w:rsid w:val="00B843BE"/>
    <w:rsid w:val="00B916BB"/>
    <w:rsid w:val="00B949B4"/>
    <w:rsid w:val="00B97BDD"/>
    <w:rsid w:val="00BA7337"/>
    <w:rsid w:val="00BB6080"/>
    <w:rsid w:val="00BD067B"/>
    <w:rsid w:val="00BD0A0A"/>
    <w:rsid w:val="00BD6371"/>
    <w:rsid w:val="00BE3A6B"/>
    <w:rsid w:val="00BE4DB6"/>
    <w:rsid w:val="00BF532D"/>
    <w:rsid w:val="00BF586D"/>
    <w:rsid w:val="00C07A78"/>
    <w:rsid w:val="00C07BF8"/>
    <w:rsid w:val="00C11B34"/>
    <w:rsid w:val="00C14060"/>
    <w:rsid w:val="00C200F8"/>
    <w:rsid w:val="00C22B07"/>
    <w:rsid w:val="00C23CCB"/>
    <w:rsid w:val="00C27B1D"/>
    <w:rsid w:val="00C34538"/>
    <w:rsid w:val="00C42DB5"/>
    <w:rsid w:val="00C50C1F"/>
    <w:rsid w:val="00C530F9"/>
    <w:rsid w:val="00C53BED"/>
    <w:rsid w:val="00C547D8"/>
    <w:rsid w:val="00C55B3B"/>
    <w:rsid w:val="00C65ADB"/>
    <w:rsid w:val="00C7221F"/>
    <w:rsid w:val="00C736E1"/>
    <w:rsid w:val="00C8380C"/>
    <w:rsid w:val="00C86A8B"/>
    <w:rsid w:val="00C8782E"/>
    <w:rsid w:val="00C90006"/>
    <w:rsid w:val="00C9621E"/>
    <w:rsid w:val="00CA4D74"/>
    <w:rsid w:val="00CA4E91"/>
    <w:rsid w:val="00CA5B7F"/>
    <w:rsid w:val="00CA68AB"/>
    <w:rsid w:val="00CB7B99"/>
    <w:rsid w:val="00CC380F"/>
    <w:rsid w:val="00CC756E"/>
    <w:rsid w:val="00CD1179"/>
    <w:rsid w:val="00CD2214"/>
    <w:rsid w:val="00CD514C"/>
    <w:rsid w:val="00CE1F4C"/>
    <w:rsid w:val="00CF0FEA"/>
    <w:rsid w:val="00D02413"/>
    <w:rsid w:val="00D03163"/>
    <w:rsid w:val="00D03F7D"/>
    <w:rsid w:val="00D14222"/>
    <w:rsid w:val="00D16258"/>
    <w:rsid w:val="00D20741"/>
    <w:rsid w:val="00D20D43"/>
    <w:rsid w:val="00D25D15"/>
    <w:rsid w:val="00D30B92"/>
    <w:rsid w:val="00D32875"/>
    <w:rsid w:val="00D32F3E"/>
    <w:rsid w:val="00D3443A"/>
    <w:rsid w:val="00D36D0F"/>
    <w:rsid w:val="00D45EAC"/>
    <w:rsid w:val="00D471CB"/>
    <w:rsid w:val="00D50597"/>
    <w:rsid w:val="00D5100E"/>
    <w:rsid w:val="00D535AE"/>
    <w:rsid w:val="00D55C28"/>
    <w:rsid w:val="00D57DB7"/>
    <w:rsid w:val="00D60E32"/>
    <w:rsid w:val="00D67D54"/>
    <w:rsid w:val="00D71F09"/>
    <w:rsid w:val="00D870F2"/>
    <w:rsid w:val="00D9413F"/>
    <w:rsid w:val="00D9419C"/>
    <w:rsid w:val="00D9634B"/>
    <w:rsid w:val="00DA2BE5"/>
    <w:rsid w:val="00DB3FA0"/>
    <w:rsid w:val="00DB71DE"/>
    <w:rsid w:val="00DC0B42"/>
    <w:rsid w:val="00DC3526"/>
    <w:rsid w:val="00DC6F0A"/>
    <w:rsid w:val="00DD015F"/>
    <w:rsid w:val="00DD5A62"/>
    <w:rsid w:val="00DE1068"/>
    <w:rsid w:val="00DE30F3"/>
    <w:rsid w:val="00DE4066"/>
    <w:rsid w:val="00DE4F7D"/>
    <w:rsid w:val="00DE59B2"/>
    <w:rsid w:val="00DF2F81"/>
    <w:rsid w:val="00E05B66"/>
    <w:rsid w:val="00E0645C"/>
    <w:rsid w:val="00E15008"/>
    <w:rsid w:val="00E2267E"/>
    <w:rsid w:val="00E23DD5"/>
    <w:rsid w:val="00E2400C"/>
    <w:rsid w:val="00E25A71"/>
    <w:rsid w:val="00E27C86"/>
    <w:rsid w:val="00E44949"/>
    <w:rsid w:val="00E45118"/>
    <w:rsid w:val="00E54A4B"/>
    <w:rsid w:val="00E552E2"/>
    <w:rsid w:val="00E556B1"/>
    <w:rsid w:val="00E5632D"/>
    <w:rsid w:val="00E6358D"/>
    <w:rsid w:val="00E657D7"/>
    <w:rsid w:val="00E73686"/>
    <w:rsid w:val="00E7502E"/>
    <w:rsid w:val="00E768A1"/>
    <w:rsid w:val="00E779D3"/>
    <w:rsid w:val="00E8299D"/>
    <w:rsid w:val="00E8403B"/>
    <w:rsid w:val="00E90D65"/>
    <w:rsid w:val="00E971E0"/>
    <w:rsid w:val="00EA271E"/>
    <w:rsid w:val="00EA691C"/>
    <w:rsid w:val="00EB06F0"/>
    <w:rsid w:val="00EB16C6"/>
    <w:rsid w:val="00EC06A7"/>
    <w:rsid w:val="00EC3083"/>
    <w:rsid w:val="00EC33A2"/>
    <w:rsid w:val="00EC48DC"/>
    <w:rsid w:val="00EC62A3"/>
    <w:rsid w:val="00EE6499"/>
    <w:rsid w:val="00EF2882"/>
    <w:rsid w:val="00EF60EF"/>
    <w:rsid w:val="00EF7BF7"/>
    <w:rsid w:val="00F10FF5"/>
    <w:rsid w:val="00F14A90"/>
    <w:rsid w:val="00F25623"/>
    <w:rsid w:val="00F3099C"/>
    <w:rsid w:val="00F30F58"/>
    <w:rsid w:val="00F33093"/>
    <w:rsid w:val="00F36A85"/>
    <w:rsid w:val="00F37B47"/>
    <w:rsid w:val="00F51B14"/>
    <w:rsid w:val="00F5340C"/>
    <w:rsid w:val="00F63FB7"/>
    <w:rsid w:val="00F71D67"/>
    <w:rsid w:val="00F72B3D"/>
    <w:rsid w:val="00F818C2"/>
    <w:rsid w:val="00F854F7"/>
    <w:rsid w:val="00F940CD"/>
    <w:rsid w:val="00F942A4"/>
    <w:rsid w:val="00FA2C5F"/>
    <w:rsid w:val="00FA50B2"/>
    <w:rsid w:val="00FA53DD"/>
    <w:rsid w:val="00FA74F7"/>
    <w:rsid w:val="00FB2146"/>
    <w:rsid w:val="00FB7EBA"/>
    <w:rsid w:val="00FC1348"/>
    <w:rsid w:val="00FC3C38"/>
    <w:rsid w:val="00FD187E"/>
    <w:rsid w:val="00FD2F94"/>
    <w:rsid w:val="00FE244B"/>
    <w:rsid w:val="00FE69D2"/>
    <w:rsid w:val="00FF2D08"/>
    <w:rsid w:val="00FF73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3988D6FA"/>
  <w15:chartTrackingRefBased/>
  <w15:docId w15:val="{A77916DA-C195-42B1-9BD8-5990714C04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4462F8"/>
    <w:pPr>
      <w:spacing w:after="0" w:line="240" w:lineRule="auto"/>
    </w:pPr>
    <w:rPr>
      <w:rFonts w:ascii="Times New Roman" w:hAnsi="Times New Roman" w:cs="Times New Roman"/>
      <w:sz w:val="24"/>
      <w:szCs w:val="24"/>
    </w:rPr>
  </w:style>
  <w:style w:type="paragraph" w:styleId="Heading1">
    <w:name w:val="heading 1"/>
    <w:basedOn w:val="Normal"/>
    <w:next w:val="Normal"/>
    <w:link w:val="Heading1Char"/>
    <w:uiPriority w:val="9"/>
    <w:qFormat/>
    <w:rsid w:val="00CE1F4C"/>
    <w:pPr>
      <w:keepNext/>
      <w:keepLines/>
      <w:numPr>
        <w:numId w:val="11"/>
      </w:numPr>
      <w:spacing w:before="240" w:after="240"/>
      <w:jc w:val="center"/>
      <w:outlineLvl w:val="0"/>
    </w:pPr>
    <w:rPr>
      <w:rFonts w:eastAsiaTheme="majorEastAsia" w:cstheme="majorBidi"/>
      <w:b/>
      <w:sz w:val="28"/>
      <w:szCs w:val="32"/>
    </w:rPr>
  </w:style>
  <w:style w:type="paragraph" w:styleId="Heading2">
    <w:name w:val="heading 2"/>
    <w:basedOn w:val="Normal"/>
    <w:next w:val="Normal"/>
    <w:link w:val="Heading2Char"/>
    <w:uiPriority w:val="9"/>
    <w:unhideWhenUsed/>
    <w:qFormat/>
    <w:rsid w:val="0039318B"/>
    <w:pPr>
      <w:keepNext/>
      <w:keepLines/>
      <w:numPr>
        <w:numId w:val="19"/>
      </w:numPr>
      <w:spacing w:after="240"/>
      <w:jc w:val="both"/>
      <w:outlineLvl w:val="1"/>
    </w:pPr>
    <w:rPr>
      <w:rFonts w:eastAsiaTheme="majorEastAsia" w:cstheme="majorBidi"/>
      <w:b/>
      <w:sz w:val="28"/>
      <w:szCs w:val="26"/>
    </w:rPr>
  </w:style>
  <w:style w:type="paragraph" w:styleId="Heading7">
    <w:name w:val="heading 7"/>
    <w:basedOn w:val="Normal"/>
    <w:next w:val="Normal"/>
    <w:link w:val="Heading7Char"/>
    <w:uiPriority w:val="9"/>
    <w:semiHidden/>
    <w:unhideWhenUsed/>
    <w:qFormat/>
    <w:rsid w:val="00C65ADB"/>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462F8"/>
    <w:pPr>
      <w:tabs>
        <w:tab w:val="center" w:pos="4680"/>
        <w:tab w:val="right" w:pos="9360"/>
      </w:tabs>
    </w:pPr>
  </w:style>
  <w:style w:type="character" w:customStyle="1" w:styleId="HeaderChar">
    <w:name w:val="Header Char"/>
    <w:basedOn w:val="DefaultParagraphFont"/>
    <w:link w:val="Header"/>
    <w:uiPriority w:val="99"/>
    <w:rsid w:val="004462F8"/>
  </w:style>
  <w:style w:type="paragraph" w:styleId="Footer">
    <w:name w:val="footer"/>
    <w:basedOn w:val="Normal"/>
    <w:link w:val="FooterChar"/>
    <w:uiPriority w:val="99"/>
    <w:unhideWhenUsed/>
    <w:rsid w:val="004462F8"/>
    <w:pPr>
      <w:tabs>
        <w:tab w:val="center" w:pos="4680"/>
        <w:tab w:val="right" w:pos="9360"/>
      </w:tabs>
    </w:pPr>
  </w:style>
  <w:style w:type="character" w:customStyle="1" w:styleId="FooterChar">
    <w:name w:val="Footer Char"/>
    <w:basedOn w:val="DefaultParagraphFont"/>
    <w:link w:val="Footer"/>
    <w:uiPriority w:val="99"/>
    <w:rsid w:val="004462F8"/>
  </w:style>
  <w:style w:type="paragraph" w:customStyle="1" w:styleId="Docketnumber">
    <w:name w:val="Docketnumber"/>
    <w:basedOn w:val="Normal"/>
    <w:link w:val="DocketnumberChar"/>
    <w:uiPriority w:val="3"/>
    <w:rsid w:val="004462F8"/>
    <w:pPr>
      <w:spacing w:after="480"/>
      <w:jc w:val="center"/>
    </w:pPr>
    <w:rPr>
      <w:b/>
    </w:rPr>
  </w:style>
  <w:style w:type="table" w:styleId="TableGrid">
    <w:name w:val="Table Grid"/>
    <w:basedOn w:val="TableNormal"/>
    <w:uiPriority w:val="39"/>
    <w:rsid w:val="004462F8"/>
    <w:pPr>
      <w:spacing w:after="0" w:line="240" w:lineRule="auto"/>
    </w:pPr>
    <w:rPr>
      <w:rFonts w:ascii="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ketnumberChar">
    <w:name w:val="Docketnumber Char"/>
    <w:basedOn w:val="DefaultParagraphFont"/>
    <w:link w:val="Docketnumber"/>
    <w:uiPriority w:val="3"/>
    <w:rsid w:val="004462F8"/>
    <w:rPr>
      <w:rFonts w:ascii="Times New Roman" w:hAnsi="Times New Roman" w:cs="Times New Roman"/>
      <w:b/>
      <w:sz w:val="24"/>
      <w:szCs w:val="24"/>
    </w:rPr>
  </w:style>
  <w:style w:type="paragraph" w:customStyle="1" w:styleId="Docketstyle">
    <w:name w:val="Docketstyle"/>
    <w:basedOn w:val="Normal"/>
    <w:uiPriority w:val="3"/>
    <w:rsid w:val="004462F8"/>
    <w:rPr>
      <w:b/>
    </w:rPr>
  </w:style>
  <w:style w:type="paragraph" w:customStyle="1" w:styleId="DocketstylePUC">
    <w:name w:val="DocketstylePUC"/>
    <w:basedOn w:val="Docketstyle"/>
    <w:uiPriority w:val="3"/>
    <w:rsid w:val="004462F8"/>
    <w:pPr>
      <w:jc w:val="center"/>
    </w:pPr>
  </w:style>
  <w:style w:type="paragraph" w:styleId="Title">
    <w:name w:val="Title"/>
    <w:basedOn w:val="Normal"/>
    <w:next w:val="Normal"/>
    <w:link w:val="TitleChar"/>
    <w:uiPriority w:val="10"/>
    <w:qFormat/>
    <w:rsid w:val="004462F8"/>
    <w:pPr>
      <w:contextualSpacing/>
      <w:jc w:val="center"/>
    </w:pPr>
    <w:rPr>
      <w:rFonts w:eastAsiaTheme="majorEastAsia" w:cstheme="majorBidi"/>
      <w:b/>
      <w:spacing w:val="-10"/>
      <w:kern w:val="28"/>
      <w:szCs w:val="56"/>
      <w:u w:val="single"/>
    </w:rPr>
  </w:style>
  <w:style w:type="character" w:customStyle="1" w:styleId="TitleChar">
    <w:name w:val="Title Char"/>
    <w:basedOn w:val="DefaultParagraphFont"/>
    <w:link w:val="Title"/>
    <w:uiPriority w:val="10"/>
    <w:rsid w:val="004462F8"/>
    <w:rPr>
      <w:rFonts w:ascii="Times New Roman" w:eastAsiaTheme="majorEastAsia" w:hAnsi="Times New Roman" w:cstheme="majorBidi"/>
      <w:b/>
      <w:spacing w:val="-10"/>
      <w:kern w:val="28"/>
      <w:sz w:val="24"/>
      <w:szCs w:val="56"/>
      <w:u w:val="single"/>
    </w:rPr>
  </w:style>
  <w:style w:type="paragraph" w:styleId="BodyText">
    <w:name w:val="Body Text"/>
    <w:basedOn w:val="Normal"/>
    <w:link w:val="BodyTextChar"/>
    <w:uiPriority w:val="99"/>
    <w:unhideWhenUsed/>
    <w:qFormat/>
    <w:rsid w:val="0080505A"/>
    <w:pPr>
      <w:spacing w:after="120" w:line="360" w:lineRule="auto"/>
      <w:ind w:firstLine="720"/>
      <w:contextualSpacing/>
      <w:jc w:val="both"/>
    </w:pPr>
  </w:style>
  <w:style w:type="character" w:customStyle="1" w:styleId="BodyTextChar">
    <w:name w:val="Body Text Char"/>
    <w:basedOn w:val="DefaultParagraphFont"/>
    <w:link w:val="BodyText"/>
    <w:uiPriority w:val="99"/>
    <w:rsid w:val="0080505A"/>
    <w:rPr>
      <w:rFonts w:ascii="Times New Roman" w:hAnsi="Times New Roman" w:cs="Times New Roman"/>
      <w:sz w:val="24"/>
      <w:szCs w:val="24"/>
    </w:rPr>
  </w:style>
  <w:style w:type="character" w:customStyle="1" w:styleId="Heading1Char">
    <w:name w:val="Heading 1 Char"/>
    <w:basedOn w:val="DefaultParagraphFont"/>
    <w:link w:val="Heading1"/>
    <w:uiPriority w:val="9"/>
    <w:rsid w:val="00CE1F4C"/>
    <w:rPr>
      <w:rFonts w:ascii="Times New Roman" w:eastAsiaTheme="majorEastAsia" w:hAnsi="Times New Roman" w:cstheme="majorBidi"/>
      <w:b/>
      <w:sz w:val="28"/>
      <w:szCs w:val="32"/>
    </w:rPr>
  </w:style>
  <w:style w:type="character" w:customStyle="1" w:styleId="Heading7Char">
    <w:name w:val="Heading 7 Char"/>
    <w:basedOn w:val="DefaultParagraphFont"/>
    <w:link w:val="Heading7"/>
    <w:uiPriority w:val="9"/>
    <w:semiHidden/>
    <w:rsid w:val="00C65ADB"/>
    <w:rPr>
      <w:rFonts w:asciiTheme="majorHAnsi" w:eastAsiaTheme="majorEastAsia" w:hAnsiTheme="majorHAnsi" w:cstheme="majorBidi"/>
      <w:i/>
      <w:iCs/>
      <w:color w:val="1F4D78" w:themeColor="accent1" w:themeShade="7F"/>
      <w:sz w:val="24"/>
      <w:szCs w:val="24"/>
    </w:rPr>
  </w:style>
  <w:style w:type="paragraph" w:styleId="BodyText2">
    <w:name w:val="Body Text 2"/>
    <w:basedOn w:val="BodyText"/>
    <w:link w:val="BodyText2Char"/>
    <w:uiPriority w:val="99"/>
    <w:unhideWhenUsed/>
    <w:rsid w:val="00C65ADB"/>
    <w:pPr>
      <w:numPr>
        <w:numId w:val="14"/>
      </w:numPr>
    </w:pPr>
  </w:style>
  <w:style w:type="character" w:customStyle="1" w:styleId="BodyText2Char">
    <w:name w:val="Body Text 2 Char"/>
    <w:basedOn w:val="DefaultParagraphFont"/>
    <w:link w:val="BodyText2"/>
    <w:uiPriority w:val="99"/>
    <w:rsid w:val="00C65ADB"/>
    <w:rPr>
      <w:rFonts w:ascii="Times New Roman" w:hAnsi="Times New Roman" w:cs="Times New Roman"/>
      <w:sz w:val="24"/>
      <w:szCs w:val="24"/>
    </w:rPr>
  </w:style>
  <w:style w:type="paragraph" w:styleId="FootnoteText">
    <w:name w:val="footnote text"/>
    <w:basedOn w:val="Normal"/>
    <w:link w:val="FootnoteTextChar"/>
    <w:uiPriority w:val="99"/>
    <w:rsid w:val="003C61C0"/>
    <w:pPr>
      <w:spacing w:after="120"/>
      <w:ind w:firstLine="720"/>
    </w:pPr>
    <w:rPr>
      <w:sz w:val="20"/>
      <w:szCs w:val="20"/>
    </w:rPr>
  </w:style>
  <w:style w:type="character" w:customStyle="1" w:styleId="FootnoteTextChar">
    <w:name w:val="Footnote Text Char"/>
    <w:basedOn w:val="DefaultParagraphFont"/>
    <w:link w:val="FootnoteText"/>
    <w:uiPriority w:val="99"/>
    <w:rsid w:val="00243BA1"/>
    <w:rPr>
      <w:rFonts w:ascii="Times New Roman" w:hAnsi="Times New Roman" w:cs="Times New Roman"/>
      <w:sz w:val="20"/>
      <w:szCs w:val="20"/>
    </w:rPr>
  </w:style>
  <w:style w:type="character" w:styleId="FootnoteReference">
    <w:name w:val="footnote reference"/>
    <w:basedOn w:val="DefaultParagraphFont"/>
    <w:uiPriority w:val="99"/>
    <w:rsid w:val="00C65ADB"/>
    <w:rPr>
      <w:vertAlign w:val="superscript"/>
    </w:rPr>
  </w:style>
  <w:style w:type="paragraph" w:customStyle="1" w:styleId="FOFNumbered">
    <w:name w:val="FOF Numbered"/>
    <w:basedOn w:val="Normal"/>
    <w:link w:val="FOFNumberedChar"/>
    <w:uiPriority w:val="2"/>
    <w:qFormat/>
    <w:rsid w:val="00D9634B"/>
    <w:pPr>
      <w:numPr>
        <w:numId w:val="15"/>
      </w:numPr>
      <w:spacing w:before="120" w:line="360" w:lineRule="auto"/>
      <w:jc w:val="both"/>
    </w:pPr>
    <w:rPr>
      <w:rFonts w:eastAsia="Times New Roman"/>
      <w:snapToGrid w:val="0"/>
      <w:szCs w:val="20"/>
    </w:rPr>
  </w:style>
  <w:style w:type="character" w:customStyle="1" w:styleId="FOFNumberedChar">
    <w:name w:val="FOF Numbered Char"/>
    <w:basedOn w:val="DefaultParagraphFont"/>
    <w:link w:val="FOFNumbered"/>
    <w:uiPriority w:val="2"/>
    <w:rsid w:val="00D9634B"/>
    <w:rPr>
      <w:rFonts w:ascii="Times New Roman" w:eastAsia="Times New Roman" w:hAnsi="Times New Roman" w:cs="Times New Roman"/>
      <w:snapToGrid w:val="0"/>
      <w:sz w:val="24"/>
      <w:szCs w:val="20"/>
    </w:rPr>
  </w:style>
  <w:style w:type="character" w:customStyle="1" w:styleId="SignaturesChar">
    <w:name w:val="Signatures Char"/>
    <w:basedOn w:val="DefaultParagraphFont"/>
    <w:link w:val="Signatures"/>
    <w:uiPriority w:val="4"/>
    <w:locked/>
    <w:rsid w:val="008C041B"/>
    <w:rPr>
      <w:b/>
    </w:rPr>
  </w:style>
  <w:style w:type="paragraph" w:customStyle="1" w:styleId="Signatures">
    <w:name w:val="Signatures"/>
    <w:basedOn w:val="Normal"/>
    <w:link w:val="SignaturesChar"/>
    <w:uiPriority w:val="4"/>
    <w:rsid w:val="008C041B"/>
    <w:pPr>
      <w:keepLines/>
      <w:ind w:left="3744"/>
    </w:pPr>
    <w:rPr>
      <w:rFonts w:asciiTheme="minorHAnsi" w:hAnsiTheme="minorHAnsi" w:cstheme="minorBidi"/>
      <w:b/>
      <w:sz w:val="22"/>
      <w:szCs w:val="22"/>
    </w:rPr>
  </w:style>
  <w:style w:type="character" w:customStyle="1" w:styleId="DatelineChar">
    <w:name w:val="Dateline Char"/>
    <w:basedOn w:val="DefaultParagraphFont"/>
    <w:link w:val="Dateline"/>
    <w:uiPriority w:val="3"/>
    <w:locked/>
    <w:rsid w:val="008C041B"/>
    <w:rPr>
      <w:b/>
    </w:rPr>
  </w:style>
  <w:style w:type="paragraph" w:customStyle="1" w:styleId="Dateline">
    <w:name w:val="Dateline"/>
    <w:basedOn w:val="Normal"/>
    <w:link w:val="DatelineChar"/>
    <w:uiPriority w:val="3"/>
    <w:rsid w:val="008C041B"/>
    <w:pPr>
      <w:keepNext/>
      <w:ind w:left="720"/>
    </w:pPr>
    <w:rPr>
      <w:rFonts w:asciiTheme="minorHAnsi" w:hAnsiTheme="minorHAnsi" w:cstheme="minorBidi"/>
      <w:b/>
      <w:sz w:val="22"/>
      <w:szCs w:val="22"/>
    </w:rPr>
  </w:style>
  <w:style w:type="paragraph" w:styleId="Revision">
    <w:name w:val="Revision"/>
    <w:hidden/>
    <w:uiPriority w:val="99"/>
    <w:semiHidden/>
    <w:rsid w:val="003C61C0"/>
    <w:pPr>
      <w:spacing w:after="0" w:line="240" w:lineRule="auto"/>
    </w:pPr>
    <w:rPr>
      <w:rFonts w:ascii="Times New Roman" w:hAnsi="Times New Roman" w:cs="Times New Roman"/>
      <w:sz w:val="24"/>
      <w:szCs w:val="24"/>
    </w:rPr>
  </w:style>
  <w:style w:type="paragraph" w:styleId="BalloonText">
    <w:name w:val="Balloon Text"/>
    <w:basedOn w:val="Normal"/>
    <w:link w:val="BalloonTextChar"/>
    <w:uiPriority w:val="99"/>
    <w:semiHidden/>
    <w:unhideWhenUsed/>
    <w:rsid w:val="003C61C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C61C0"/>
    <w:rPr>
      <w:rFonts w:ascii="Segoe UI" w:hAnsi="Segoe UI" w:cs="Segoe UI"/>
      <w:sz w:val="18"/>
      <w:szCs w:val="18"/>
    </w:rPr>
  </w:style>
  <w:style w:type="character" w:styleId="CommentReference">
    <w:name w:val="annotation reference"/>
    <w:basedOn w:val="DefaultParagraphFont"/>
    <w:uiPriority w:val="99"/>
    <w:semiHidden/>
    <w:unhideWhenUsed/>
    <w:rsid w:val="00BA7337"/>
    <w:rPr>
      <w:sz w:val="16"/>
      <w:szCs w:val="16"/>
    </w:rPr>
  </w:style>
  <w:style w:type="paragraph" w:styleId="CommentText">
    <w:name w:val="annotation text"/>
    <w:basedOn w:val="Normal"/>
    <w:link w:val="CommentTextChar"/>
    <w:uiPriority w:val="99"/>
    <w:semiHidden/>
    <w:unhideWhenUsed/>
    <w:rsid w:val="00BA7337"/>
    <w:rPr>
      <w:sz w:val="20"/>
      <w:szCs w:val="20"/>
    </w:rPr>
  </w:style>
  <w:style w:type="character" w:customStyle="1" w:styleId="CommentTextChar">
    <w:name w:val="Comment Text Char"/>
    <w:basedOn w:val="DefaultParagraphFont"/>
    <w:link w:val="CommentText"/>
    <w:uiPriority w:val="99"/>
    <w:semiHidden/>
    <w:rsid w:val="00BA7337"/>
    <w:rPr>
      <w:rFonts w:ascii="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BA7337"/>
    <w:rPr>
      <w:b/>
      <w:bCs/>
    </w:rPr>
  </w:style>
  <w:style w:type="character" w:customStyle="1" w:styleId="CommentSubjectChar">
    <w:name w:val="Comment Subject Char"/>
    <w:basedOn w:val="CommentTextChar"/>
    <w:link w:val="CommentSubject"/>
    <w:uiPriority w:val="99"/>
    <w:semiHidden/>
    <w:rsid w:val="00BA7337"/>
    <w:rPr>
      <w:rFonts w:ascii="Times New Roman" w:hAnsi="Times New Roman" w:cs="Times New Roman"/>
      <w:b/>
      <w:bCs/>
      <w:sz w:val="20"/>
      <w:szCs w:val="20"/>
    </w:rPr>
  </w:style>
  <w:style w:type="character" w:styleId="Hyperlink">
    <w:name w:val="Hyperlink"/>
    <w:basedOn w:val="DefaultParagraphFont"/>
    <w:uiPriority w:val="99"/>
    <w:unhideWhenUsed/>
    <w:rsid w:val="007370ED"/>
    <w:rPr>
      <w:color w:val="0563C1" w:themeColor="hyperlink"/>
      <w:u w:val="single"/>
    </w:rPr>
  </w:style>
  <w:style w:type="character" w:customStyle="1" w:styleId="Heading2Char">
    <w:name w:val="Heading 2 Char"/>
    <w:basedOn w:val="DefaultParagraphFont"/>
    <w:link w:val="Heading2"/>
    <w:uiPriority w:val="9"/>
    <w:rsid w:val="0039318B"/>
    <w:rPr>
      <w:rFonts w:ascii="Times New Roman" w:eastAsiaTheme="majorEastAsia" w:hAnsi="Times New Roman" w:cstheme="majorBidi"/>
      <w:b/>
      <w:sz w:val="28"/>
      <w:szCs w:val="26"/>
    </w:rPr>
  </w:style>
  <w:style w:type="paragraph" w:styleId="TOC1">
    <w:name w:val="toc 1"/>
    <w:basedOn w:val="Normal"/>
    <w:next w:val="Normal"/>
    <w:autoRedefine/>
    <w:uiPriority w:val="39"/>
    <w:unhideWhenUsed/>
    <w:rsid w:val="0039318B"/>
    <w:pPr>
      <w:tabs>
        <w:tab w:val="left" w:pos="720"/>
        <w:tab w:val="right" w:leader="dot" w:pos="9350"/>
      </w:tabs>
      <w:spacing w:after="100"/>
      <w:jc w:val="center"/>
    </w:pPr>
  </w:style>
  <w:style w:type="paragraph" w:styleId="TOC2">
    <w:name w:val="toc 2"/>
    <w:basedOn w:val="Normal"/>
    <w:next w:val="Normal"/>
    <w:autoRedefine/>
    <w:uiPriority w:val="39"/>
    <w:unhideWhenUsed/>
    <w:rsid w:val="0039318B"/>
    <w:pPr>
      <w:tabs>
        <w:tab w:val="left" w:pos="1440"/>
        <w:tab w:val="right" w:leader="dot" w:pos="9350"/>
      </w:tabs>
      <w:spacing w:after="100"/>
      <w:ind w:left="720"/>
    </w:pPr>
  </w:style>
  <w:style w:type="character" w:styleId="UnresolvedMention">
    <w:name w:val="Unresolved Mention"/>
    <w:basedOn w:val="DefaultParagraphFont"/>
    <w:uiPriority w:val="99"/>
    <w:semiHidden/>
    <w:unhideWhenUsed/>
    <w:rsid w:val="005B03F0"/>
    <w:rPr>
      <w:color w:val="605E5C"/>
      <w:shd w:val="clear" w:color="auto" w:fill="E1DFDD"/>
    </w:rPr>
  </w:style>
  <w:style w:type="table" w:styleId="GridTable4-Accent3">
    <w:name w:val="Grid Table 4 Accent 3"/>
    <w:basedOn w:val="TableNormal"/>
    <w:uiPriority w:val="49"/>
    <w:rsid w:val="00D16258"/>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0173646">
      <w:bodyDiv w:val="1"/>
      <w:marLeft w:val="0"/>
      <w:marRight w:val="0"/>
      <w:marTop w:val="0"/>
      <w:marBottom w:val="0"/>
      <w:divBdr>
        <w:top w:val="none" w:sz="0" w:space="0" w:color="auto"/>
        <w:left w:val="none" w:sz="0" w:space="0" w:color="auto"/>
        <w:bottom w:val="none" w:sz="0" w:space="0" w:color="auto"/>
        <w:right w:val="none" w:sz="0" w:space="0" w:color="auto"/>
      </w:divBdr>
    </w:div>
    <w:div w:id="18535633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fontTable" Target="fontTable.xml" Id="rId13"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footer" Target="footer2.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footer" Target="footer1.xml" Id="rId11" /><Relationship Type="http://schemas.openxmlformats.org/officeDocument/2006/relationships/styles" Target="styles.xml" Id="rId5" /><Relationship Type="http://schemas.openxmlformats.org/officeDocument/2006/relationships/header" Target="header1.xml" Id="rId10" /><Relationship Type="http://schemas.openxmlformats.org/officeDocument/2006/relationships/numbering" Target="numbering.xml" Id="rId4" /><Relationship Type="http://schemas.openxmlformats.org/officeDocument/2006/relationships/endnotes" Target="endnotes.xml" Id="rId9" /><Relationship Type="http://schemas.openxmlformats.org/officeDocument/2006/relationships/theme" Target="theme/theme1.xml" Id="rId14" /><Relationship Type="http://schemas.openxmlformats.org/officeDocument/2006/relationships/customXml" Target="/customXML/item4.xml" Id="imanag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item4.xml>��< ? x m l   v e r s i o n = " 1 . 0 "   e n c o d i n g = " u t f - 1 6 " ? >  
 < p r o p e r t i e s   x m l n s = " h t t p : / / w w w . i m a n a g e . c o m / w o r k / x m l s c h e m a " >  
     < d o c u m e n t i d > I M A N D B ! 2 7 5 7 9 0 7 . 2 < / d o c u m e n t i d >  
     < s e n d e r i d > S 3 3 0 0 1 6 < / s e n d e r i d >  
     < s e n d e r e m a i l > L M M E L H E M @ A E P . C O M < / s e n d e r e m a i l >  
     < l a s t m o d i f i e d > 2 0 2 2 - 0 5 - 2 0 T 1 4 : 5 7 : 0 0 . 0 0 0 0 0 0 0 - 0 5 : 0 0 < / l a s t m o d i f i e d >  
     < d a t a b a s e > I M A N D B < / d a t a b a s e >  
 < / p r o p e r t i e s > 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WrappedLabelHistory xmlns:xsd="http://www.w3.org/2001/XMLSchema" xmlns:xsi="http://www.w3.org/2001/XMLSchema-instance" xmlns="http://www.boldonjames.com/2016/02/Classifier/internal/wrappedLabelHistory">
  <Value>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</Value>
</WrappedLabelHistory>
</file>

<file path=customXml/item3.xml><?xml version="1.0" encoding="utf-8"?>
<sisl xmlns:xsd="http://www.w3.org/2001/XMLSchema" xmlns:xsi="http://www.w3.org/2001/XMLSchema-instance" xmlns="http://www.boldonjames.com/2008/01/sie/internal/label" sislVersion="0" policy="e9c0b8d7-bdb4-4fd3-b62a-f50327aaefce" origin="userSelected">
  <element uid="50c31824-0780-4910-87d1-eaaffd182d42" value=""/>
</sisl>
</file>

<file path=customXml/itemProps1.xml><?xml version="1.0" encoding="utf-8"?>
<ds:datastoreItem xmlns:ds="http://schemas.openxmlformats.org/officeDocument/2006/customXml" ds:itemID="{B0B22FE0-0465-4104-BDDE-ADF8061E5EE9}">
  <ds:schemaRefs>
    <ds:schemaRef ds:uri="http://schemas.openxmlformats.org/officeDocument/2006/bibliography"/>
  </ds:schemaRefs>
</ds:datastoreItem>
</file>

<file path=customXml/itemProps2.xml><?xml version="1.0" encoding="utf-8"?>
<ds:datastoreItem xmlns:ds="http://schemas.openxmlformats.org/officeDocument/2006/customXml" ds:itemID="{8639021C-E59E-4CC2-B34C-784BA2C91B5B}">
  <ds:schemaRefs>
    <ds:schemaRef ds:uri="http://www.w3.org/2001/XMLSchema"/>
    <ds:schemaRef ds:uri="http://www.boldonjames.com/2016/02/Classifier/internal/wrappedLabelHistory"/>
  </ds:schemaRefs>
</ds:datastoreItem>
</file>

<file path=customXml/itemProps3.xml><?xml version="1.0" encoding="utf-8"?>
<ds:datastoreItem xmlns:ds="http://schemas.openxmlformats.org/officeDocument/2006/customXml" ds:itemID="{372B42E9-13EB-4636-8943-9AFF28064943}">
  <ds:schemaRefs>
    <ds:schemaRef ds:uri="http://www.w3.org/2001/XMLSchema"/>
    <ds:schemaRef ds:uri="http://www.boldonjames.com/2008/01/sie/internal/label"/>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7</Pages>
  <Words>1762</Words>
  <Characters>9780</Characters>
  <Application>Microsoft Office Word</Application>
  <DocSecurity>0</DocSecurity>
  <Lines>222</Lines>
  <Paragraphs>85</Paragraphs>
  <ScaleCrop>false</ScaleCrop>
  <HeadingPairs>
    <vt:vector size="2" baseType="variant">
      <vt:variant>
        <vt:lpstr>Title</vt:lpstr>
      </vt:variant>
      <vt:variant>
        <vt:i4>1</vt:i4>
      </vt:variant>
    </vt:vector>
  </HeadingPairs>
  <TitlesOfParts>
    <vt:vector size="1" baseType="lpstr">
      <vt:lpstr/>
    </vt:vector>
  </TitlesOfParts>
  <Company>American Electric Power</Company>
  <LinksUpToDate>false</LinksUpToDate>
  <CharactersWithSpaces>11457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s330016</dc:creator>
  <cp:keywords/>
  <dc:description/>
  <cp:lastModifiedBy>s330016</cp:lastModifiedBy>
  <cp:revision>5</cp:revision>
  <cp:lastPrinted>2022-05-20T19:45:00Z</cp:lastPrinted>
  <dcterms:created xsi:type="dcterms:W3CDTF">2022-05-20T15:24:00Z</dcterms:created>
  <dcterms:modified xsi:type="dcterms:W3CDTF">2022-05-20T19:57:00Z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ff9faf9f-102e-40ba-a4fd-fb813b9c2ac7</vt:lpwstr>
  </property>
  <property fmtid="{D5CDD505-2E9C-101B-9397-08002B2CF9AE}" pid="3" name="bjDocumentSecurityLabel">
    <vt:lpwstr>AEP Internal</vt:lpwstr>
  </property>
  <property fmtid="{D5CDD505-2E9C-101B-9397-08002B2CF9AE}" pid="4" name="bjSaver">
    <vt:lpwstr>hmkobcxL5B69/sp+XFLPXy1xzylTpwKm</vt:lpwstr>
  </property>
  <property fmtid="{D5CDD505-2E9C-101B-9397-08002B2CF9AE}" pid="5" name="MSIP_Label_69f43042-6bda-44b2-91eb-eca3d3d484f4_SiteId">
    <vt:lpwstr>15f3c881-6b03-4ff6-8559-77bf5177818f</vt:lpwstr>
  </property>
  <property fmtid="{D5CDD505-2E9C-101B-9397-08002B2CF9AE}" pid="6" name="MSIP_Label_69f43042-6bda-44b2-91eb-eca3d3d484f4_Name">
    <vt:lpwstr>AEP Internal</vt:lpwstr>
  </property>
  <property fmtid="{D5CDD505-2E9C-101B-9397-08002B2CF9AE}" pid="7" name="MSIP_Label_69f43042-6bda-44b2-91eb-eca3d3d484f4_Enabled">
    <vt:lpwstr>true</vt:lpwstr>
  </property>
  <property fmtid="{D5CDD505-2E9C-101B-9397-08002B2CF9AE}" pid="8" name="bjClsUserRVM">
    <vt:lpwstr>[]</vt:lpwstr>
  </property>
  <property fmtid="{D5CDD505-2E9C-101B-9397-08002B2CF9AE}" pid="9" name="bjDocumentLabelXML">
    <vt:lpwstr>&lt;?xml version="1.0" encoding="us-ascii"?&gt;&lt;sisl xmlns:xsd="http://www.w3.org/2001/XMLSchema" xmlns:xsi="http://www.w3.org/2001/XMLSchema-instance" sislVersion="0" policy="e9c0b8d7-bdb4-4fd3-b62a-f50327aaefce" origin="userSelected" xmlns="http://www.boldonj</vt:lpwstr>
  </property>
  <property fmtid="{D5CDD505-2E9C-101B-9397-08002B2CF9AE}" pid="10" name="bjDocumentLabelXML-0">
    <vt:lpwstr>ames.com/2008/01/sie/internal/label"&gt;&lt;element uid="50c31824-0780-4910-87d1-eaaffd182d42" value="" /&gt;&lt;/sisl&gt;</vt:lpwstr>
  </property>
  <property fmtid="{D5CDD505-2E9C-101B-9397-08002B2CF9AE}" pid="11" name="bjLabelHistoryID">
    <vt:lpwstr>{8639021C-E59E-4CC2-B34C-784BA2C91B5B}</vt:lpwstr>
  </property>
  <property fmtid="{D5CDD505-2E9C-101B-9397-08002B2CF9AE}" pid="12" name="iManageFooter">
    <vt:lpwstr>#2757907v2</vt:lpwstr>
  </property>
</Properties>
</file>